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62619">
      <w:pPr>
        <w:pStyle w:val="28"/>
        <w:snapToGrid w:val="0"/>
        <w:spacing w:beforeLines="0" w:afterLines="0" w:line="360" w:lineRule="auto"/>
        <w:jc w:val="distribute"/>
        <w:rPr>
          <w:rFonts w:ascii="Times New Roman" w:hAnsi="宋体" w:cs="Times New Roman"/>
          <w:b/>
          <w:bCs/>
          <w:color w:val="0D0D0D"/>
          <w:sz w:val="56"/>
          <w:szCs w:val="56"/>
        </w:rPr>
      </w:pPr>
      <w:r>
        <w:rPr>
          <w:rFonts w:hint="eastAsia" w:ascii="Times New Roman" w:hAnsi="宋体" w:cs="Times New Roman"/>
          <w:b/>
          <w:bCs/>
          <w:color w:val="0D0D0D"/>
          <w:sz w:val="56"/>
          <w:szCs w:val="56"/>
        </w:rPr>
        <w:t>东阳剧院舞台灯光系统建设更新项目</w:t>
      </w:r>
    </w:p>
    <w:p w14:paraId="6C1779BC">
      <w:pPr>
        <w:spacing w:before="166" w:beforeLines="50" w:line="720" w:lineRule="auto"/>
        <w:jc w:val="center"/>
        <w:rPr>
          <w:rFonts w:ascii="宋体"/>
          <w:b/>
          <w:bCs/>
          <w:sz w:val="32"/>
          <w:szCs w:val="32"/>
        </w:rPr>
      </w:pPr>
      <w:r>
        <w:rPr>
          <w:rFonts w:hint="eastAsia" w:ascii="宋体" w:hAnsi="宋体"/>
          <w:b/>
          <w:sz w:val="72"/>
          <w:szCs w:val="72"/>
        </w:rPr>
        <w:t xml:space="preserve">    公开招标采购文件</w:t>
      </w:r>
    </w:p>
    <w:p w14:paraId="0D35BDF1">
      <w:pPr>
        <w:snapToGrid w:val="0"/>
        <w:spacing w:before="166" w:beforeLines="50" w:line="360" w:lineRule="auto"/>
        <w:jc w:val="center"/>
        <w:rPr>
          <w:rFonts w:hAnsi="宋体"/>
          <w:b/>
          <w:bCs/>
          <w:color w:val="0D0D0D"/>
          <w:sz w:val="30"/>
          <w:szCs w:val="30"/>
        </w:rPr>
      </w:pPr>
      <w:r>
        <w:rPr>
          <w:rFonts w:ascii="宋体"/>
          <w:sz w:val="30"/>
          <w:szCs w:val="30"/>
        </w:rPr>
        <w:drawing>
          <wp:inline distT="0" distB="0" distL="114300" distR="114300">
            <wp:extent cx="2314575" cy="2095500"/>
            <wp:effectExtent l="0" t="0" r="1905" b="7620"/>
            <wp:docPr id="11" name="图片 1" descr="caig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caigou"/>
                    <pic:cNvPicPr>
                      <a:picLocks noChangeAspect="1"/>
                    </pic:cNvPicPr>
                  </pic:nvPicPr>
                  <pic:blipFill>
                    <a:blip r:embed="rId16"/>
                    <a:stretch>
                      <a:fillRect/>
                    </a:stretch>
                  </pic:blipFill>
                  <pic:spPr>
                    <a:xfrm>
                      <a:off x="0" y="0"/>
                      <a:ext cx="2314575" cy="2095500"/>
                    </a:xfrm>
                    <a:prstGeom prst="rect">
                      <a:avLst/>
                    </a:prstGeom>
                    <a:noFill/>
                    <a:ln>
                      <a:noFill/>
                    </a:ln>
                  </pic:spPr>
                </pic:pic>
              </a:graphicData>
            </a:graphic>
          </wp:inline>
        </w:drawing>
      </w:r>
    </w:p>
    <w:p w14:paraId="1AE4244E">
      <w:pPr>
        <w:pStyle w:val="28"/>
        <w:snapToGrid w:val="0"/>
        <w:spacing w:before="166" w:after="166" w:line="480" w:lineRule="auto"/>
        <w:ind w:firstLine="301" w:firstLineChars="100"/>
        <w:rPr>
          <w:rFonts w:hAnsi="宋体"/>
          <w:b/>
          <w:bCs/>
          <w:color w:val="0D0D0D"/>
          <w:sz w:val="30"/>
          <w:szCs w:val="30"/>
        </w:rPr>
      </w:pPr>
    </w:p>
    <w:p w14:paraId="134B9E99">
      <w:pPr>
        <w:pStyle w:val="28"/>
        <w:snapToGrid w:val="0"/>
        <w:spacing w:before="166" w:after="166" w:line="480" w:lineRule="auto"/>
        <w:ind w:firstLine="602" w:firstLineChars="200"/>
        <w:rPr>
          <w:rFonts w:hAnsi="宋体"/>
          <w:b/>
          <w:bCs/>
          <w:sz w:val="30"/>
          <w:szCs w:val="30"/>
        </w:rPr>
      </w:pPr>
      <w:r>
        <w:rPr>
          <w:rFonts w:hint="eastAsia" w:hAnsi="宋体"/>
          <w:b/>
          <w:bCs/>
          <w:color w:val="0D0D0D"/>
          <w:sz w:val="30"/>
          <w:szCs w:val="30"/>
        </w:rPr>
        <w:t>项目编号：</w:t>
      </w:r>
      <w:r>
        <w:rPr>
          <w:rFonts w:hint="eastAsia" w:hAnsi="宋体"/>
          <w:b/>
          <w:bCs/>
          <w:sz w:val="30"/>
          <w:szCs w:val="30"/>
        </w:rPr>
        <w:t>JCZFCG2024-Z37-A347</w:t>
      </w:r>
    </w:p>
    <w:p w14:paraId="2DF635D4">
      <w:pPr>
        <w:pStyle w:val="28"/>
        <w:snapToGrid w:val="0"/>
        <w:spacing w:before="166" w:after="166" w:line="480" w:lineRule="auto"/>
        <w:ind w:left="2102" w:leftChars="284" w:hanging="1506" w:hangingChars="500"/>
        <w:rPr>
          <w:rFonts w:cs="Times New Roman"/>
          <w:b/>
          <w:bCs/>
        </w:rPr>
      </w:pPr>
      <w:r>
        <w:rPr>
          <w:rFonts w:hint="eastAsia"/>
          <w:b/>
          <w:bCs/>
          <w:sz w:val="30"/>
          <w:szCs w:val="30"/>
        </w:rPr>
        <w:t>项目名称：</w:t>
      </w:r>
      <w:r>
        <w:rPr>
          <w:rFonts w:hint="eastAsia" w:hAnsi="宋体"/>
          <w:b/>
          <w:bCs/>
          <w:sz w:val="30"/>
          <w:szCs w:val="30"/>
        </w:rPr>
        <w:t>东阳剧院舞台灯光系统建设更新项目</w:t>
      </w:r>
    </w:p>
    <w:p w14:paraId="790B6494">
      <w:pPr>
        <w:pStyle w:val="28"/>
        <w:snapToGrid w:val="0"/>
        <w:spacing w:before="166" w:after="166" w:line="480" w:lineRule="auto"/>
        <w:ind w:left="1492" w:leftChars="286" w:hanging="891" w:hangingChars="296"/>
        <w:rPr>
          <w:rFonts w:hAnsi="宋体" w:cs="Times New Roman"/>
          <w:b/>
          <w:bCs/>
          <w:color w:val="000000"/>
          <w:sz w:val="30"/>
          <w:szCs w:val="30"/>
        </w:rPr>
      </w:pPr>
      <w:r>
        <w:rPr>
          <w:rFonts w:hint="eastAsia" w:hAnsi="宋体"/>
          <w:b/>
          <w:bCs/>
          <w:color w:val="0D0D0D"/>
          <w:sz w:val="30"/>
          <w:szCs w:val="30"/>
        </w:rPr>
        <w:t>采购单位：东阳市婺剧艺术传承中心</w:t>
      </w:r>
    </w:p>
    <w:p w14:paraId="4CDE865D">
      <w:pPr>
        <w:pStyle w:val="28"/>
        <w:snapToGrid w:val="0"/>
        <w:spacing w:before="166" w:after="166" w:line="480" w:lineRule="auto"/>
        <w:ind w:firstLine="572" w:firstLineChars="200"/>
        <w:rPr>
          <w:color w:val="0D0D0D"/>
          <w:w w:val="95"/>
          <w:sz w:val="32"/>
          <w:szCs w:val="32"/>
        </w:rPr>
      </w:pPr>
      <w:r>
        <w:rPr>
          <w:rFonts w:hint="eastAsia" w:hAnsi="宋体"/>
          <w:b/>
          <w:bCs/>
          <w:color w:val="0D0D0D"/>
          <w:w w:val="95"/>
          <w:sz w:val="30"/>
          <w:szCs w:val="30"/>
        </w:rPr>
        <w:t>招标机构：</w:t>
      </w:r>
      <w:r>
        <w:rPr>
          <w:rFonts w:hint="eastAsia" w:hAnsi="宋体"/>
          <w:b/>
          <w:bCs/>
          <w:color w:val="0D0D0D"/>
          <w:sz w:val="30"/>
          <w:szCs w:val="30"/>
        </w:rPr>
        <w:t>金华市金诚招投标代理有限公司</w:t>
      </w:r>
    </w:p>
    <w:p w14:paraId="206690DC">
      <w:pPr>
        <w:pStyle w:val="28"/>
        <w:snapToGrid w:val="0"/>
        <w:spacing w:before="166" w:after="166" w:line="480" w:lineRule="auto"/>
        <w:ind w:left="1495" w:leftChars="144" w:hanging="1193" w:hangingChars="396"/>
        <w:jc w:val="center"/>
        <w:rPr>
          <w:rFonts w:hAnsi="宋体"/>
          <w:b/>
          <w:bCs/>
          <w:color w:val="0D0D0D"/>
          <w:sz w:val="30"/>
          <w:szCs w:val="30"/>
        </w:rPr>
      </w:pPr>
      <w:r>
        <w:rPr>
          <w:rFonts w:hint="eastAsia" w:hAnsi="宋体"/>
          <w:b/>
          <w:bCs/>
          <w:color w:val="0D0D0D"/>
          <w:sz w:val="30"/>
          <w:szCs w:val="30"/>
        </w:rPr>
        <w:t xml:space="preserve">                    2024年9月1</w:t>
      </w:r>
      <w:r>
        <w:rPr>
          <w:rFonts w:hint="eastAsia" w:hAnsi="宋体"/>
          <w:b/>
          <w:bCs/>
          <w:color w:val="0D0D0D"/>
          <w:sz w:val="30"/>
          <w:szCs w:val="30"/>
          <w:lang w:val="en-US" w:eastAsia="zh-CN"/>
        </w:rPr>
        <w:t>4</w:t>
      </w:r>
      <w:r>
        <w:rPr>
          <w:rFonts w:hint="eastAsia" w:hAnsi="宋体"/>
          <w:b/>
          <w:bCs/>
          <w:color w:val="0D0D0D"/>
          <w:sz w:val="30"/>
          <w:szCs w:val="30"/>
        </w:rPr>
        <w:t>日</w:t>
      </w:r>
    </w:p>
    <w:p w14:paraId="5BE81211">
      <w:pPr>
        <w:rPr>
          <w:rFonts w:ascii="宋体" w:hAnsi="宋体" w:cs="宋体"/>
          <w:b/>
          <w:bCs/>
          <w:color w:val="0D0D0D"/>
          <w:sz w:val="36"/>
          <w:szCs w:val="36"/>
        </w:rPr>
      </w:pPr>
      <w:r>
        <w:rPr>
          <w:rFonts w:hint="eastAsia" w:ascii="宋体" w:hAnsi="宋体" w:cs="宋体"/>
          <w:b/>
          <w:bCs/>
          <w:color w:val="0D0D0D"/>
          <w:sz w:val="36"/>
          <w:szCs w:val="36"/>
        </w:rPr>
        <w:br w:type="page"/>
      </w:r>
    </w:p>
    <w:p w14:paraId="63BA9E51">
      <w:pPr>
        <w:snapToGrid w:val="0"/>
        <w:spacing w:before="166" w:beforeLines="50" w:line="360" w:lineRule="auto"/>
        <w:jc w:val="center"/>
        <w:rPr>
          <w:rFonts w:ascii="宋体"/>
          <w:b/>
          <w:bCs/>
          <w:color w:val="0D0D0D"/>
          <w:sz w:val="36"/>
          <w:szCs w:val="36"/>
        </w:rPr>
      </w:pPr>
      <w:r>
        <w:rPr>
          <w:rFonts w:hint="eastAsia" w:ascii="宋体" w:hAnsi="宋体" w:cs="宋体"/>
          <w:b/>
          <w:bCs/>
          <w:color w:val="0D0D0D"/>
          <w:sz w:val="36"/>
          <w:szCs w:val="36"/>
        </w:rPr>
        <w:t>目  录</w:t>
      </w:r>
    </w:p>
    <w:p w14:paraId="5C320ECD">
      <w:pPr>
        <w:pStyle w:val="28"/>
        <w:spacing w:before="166" w:after="166" w:line="360" w:lineRule="auto"/>
        <w:jc w:val="center"/>
        <w:rPr>
          <w:rFonts w:ascii="创艺简标宋" w:hAnsi="宋体" w:eastAsia="创艺简标宋" w:cs="Times New Roman"/>
          <w:color w:val="0D0D0D"/>
          <w:sz w:val="44"/>
          <w:szCs w:val="44"/>
        </w:rPr>
      </w:pPr>
    </w:p>
    <w:p w14:paraId="4D500B70">
      <w:pPr>
        <w:numPr>
          <w:ilvl w:val="0"/>
          <w:numId w:val="2"/>
        </w:numPr>
        <w:spacing w:before="166" w:beforeLines="50" w:line="360" w:lineRule="auto"/>
        <w:rPr>
          <w:rFonts w:ascii="宋体"/>
          <w:color w:val="0D0D0D"/>
          <w:sz w:val="30"/>
          <w:szCs w:val="30"/>
        </w:rPr>
      </w:pPr>
      <w:r>
        <w:rPr>
          <w:rFonts w:hint="eastAsia" w:ascii="宋体" w:hAnsi="宋体" w:cs="宋体"/>
          <w:color w:val="0D0D0D"/>
          <w:sz w:val="30"/>
          <w:szCs w:val="30"/>
        </w:rPr>
        <w:t>公开招标采购公告</w:t>
      </w:r>
    </w:p>
    <w:p w14:paraId="6B821A87">
      <w:pPr>
        <w:numPr>
          <w:ilvl w:val="0"/>
          <w:numId w:val="2"/>
        </w:numPr>
        <w:spacing w:before="166" w:beforeLines="50" w:line="360" w:lineRule="auto"/>
        <w:rPr>
          <w:rFonts w:ascii="宋体"/>
          <w:color w:val="0D0D0D"/>
          <w:sz w:val="30"/>
          <w:szCs w:val="30"/>
        </w:rPr>
      </w:pPr>
      <w:r>
        <w:rPr>
          <w:rFonts w:hint="eastAsia" w:ascii="宋体" w:hAnsi="宋体" w:cs="宋体"/>
          <w:color w:val="0D0D0D"/>
          <w:sz w:val="30"/>
          <w:szCs w:val="30"/>
        </w:rPr>
        <w:t>招标需求</w:t>
      </w:r>
    </w:p>
    <w:p w14:paraId="146D52C2">
      <w:pPr>
        <w:numPr>
          <w:ilvl w:val="0"/>
          <w:numId w:val="2"/>
        </w:numPr>
        <w:spacing w:before="166" w:beforeLines="50" w:line="360" w:lineRule="auto"/>
        <w:rPr>
          <w:rFonts w:ascii="宋体"/>
          <w:color w:val="0D0D0D"/>
          <w:sz w:val="30"/>
          <w:szCs w:val="30"/>
        </w:rPr>
      </w:pPr>
      <w:r>
        <w:rPr>
          <w:rFonts w:hint="eastAsia" w:ascii="宋体" w:hAnsi="宋体" w:cs="宋体"/>
          <w:color w:val="0D0D0D"/>
          <w:sz w:val="30"/>
          <w:szCs w:val="30"/>
        </w:rPr>
        <w:t>投标人须知</w:t>
      </w:r>
    </w:p>
    <w:p w14:paraId="3FA5E2B3">
      <w:pPr>
        <w:numPr>
          <w:ilvl w:val="0"/>
          <w:numId w:val="2"/>
        </w:numPr>
        <w:spacing w:before="166" w:beforeLines="50" w:line="360" w:lineRule="auto"/>
        <w:rPr>
          <w:rFonts w:ascii="宋体"/>
          <w:color w:val="0D0D0D"/>
          <w:sz w:val="30"/>
          <w:szCs w:val="30"/>
        </w:rPr>
      </w:pPr>
      <w:r>
        <w:rPr>
          <w:rFonts w:hint="eastAsia" w:ascii="宋体" w:hAnsi="宋体" w:cs="宋体"/>
          <w:color w:val="0D0D0D"/>
          <w:sz w:val="30"/>
          <w:szCs w:val="30"/>
        </w:rPr>
        <w:t>评标办法及评分标准</w:t>
      </w:r>
    </w:p>
    <w:p w14:paraId="00955A87">
      <w:pPr>
        <w:numPr>
          <w:ilvl w:val="0"/>
          <w:numId w:val="2"/>
        </w:numPr>
        <w:spacing w:before="166" w:beforeLines="50" w:line="360" w:lineRule="auto"/>
        <w:rPr>
          <w:rFonts w:ascii="宋体"/>
          <w:color w:val="0D0D0D"/>
          <w:sz w:val="30"/>
          <w:szCs w:val="30"/>
        </w:rPr>
      </w:pPr>
      <w:r>
        <w:rPr>
          <w:rFonts w:hint="eastAsia" w:ascii="宋体" w:hAnsi="宋体" w:cs="宋体"/>
          <w:color w:val="0D0D0D"/>
          <w:sz w:val="30"/>
          <w:szCs w:val="30"/>
        </w:rPr>
        <w:t>政府采购合同主要条款</w:t>
      </w:r>
    </w:p>
    <w:p w14:paraId="47ED5B46">
      <w:pPr>
        <w:numPr>
          <w:ilvl w:val="0"/>
          <w:numId w:val="2"/>
        </w:numPr>
        <w:spacing w:before="166" w:beforeLines="50" w:line="360" w:lineRule="auto"/>
        <w:rPr>
          <w:rFonts w:ascii="宋体"/>
          <w:color w:val="0D0D0D"/>
          <w:sz w:val="30"/>
          <w:szCs w:val="30"/>
        </w:rPr>
      </w:pPr>
      <w:r>
        <w:rPr>
          <w:rFonts w:hint="eastAsia" w:ascii="宋体" w:hAnsi="宋体" w:cs="宋体"/>
          <w:color w:val="0D0D0D"/>
          <w:sz w:val="30"/>
          <w:szCs w:val="30"/>
        </w:rPr>
        <w:t>投标文件格式</w:t>
      </w:r>
    </w:p>
    <w:p w14:paraId="26E70156">
      <w:pPr>
        <w:pStyle w:val="28"/>
        <w:snapToGrid w:val="0"/>
        <w:spacing w:before="166" w:after="166" w:line="360" w:lineRule="auto"/>
        <w:outlineLvl w:val="0"/>
        <w:rPr>
          <w:rFonts w:hAnsi="宋体" w:cs="Times New Roman"/>
          <w:color w:val="0D0D0D"/>
        </w:rPr>
        <w:sectPr>
          <w:headerReference r:id="rId6" w:type="first"/>
          <w:footerReference r:id="rId8" w:type="first"/>
          <w:headerReference r:id="rId5" w:type="default"/>
          <w:footerReference r:id="rId7" w:type="default"/>
          <w:pgSz w:w="11906" w:h="16838"/>
          <w:pgMar w:top="1417" w:right="1247" w:bottom="1417" w:left="1304" w:header="851" w:footer="992" w:gutter="0"/>
          <w:pgBorders>
            <w:top w:val="none" w:sz="0" w:space="0"/>
            <w:left w:val="none" w:sz="0" w:space="0"/>
            <w:bottom w:val="none" w:sz="0" w:space="0"/>
            <w:right w:val="none" w:sz="0" w:space="0"/>
          </w:pgBorders>
          <w:pgNumType w:fmt="numberInDash"/>
          <w:cols w:space="720" w:num="1"/>
          <w:titlePg/>
          <w:docGrid w:type="lines" w:linePitch="332" w:charSpace="0"/>
        </w:sectPr>
      </w:pPr>
    </w:p>
    <w:p w14:paraId="4601BE73">
      <w:pPr>
        <w:pStyle w:val="28"/>
        <w:snapToGrid w:val="0"/>
        <w:spacing w:before="156" w:after="156" w:line="360" w:lineRule="auto"/>
        <w:outlineLvl w:val="0"/>
        <w:rPr>
          <w:rFonts w:hAnsi="宋体" w:cs="Times New Roman"/>
          <w:color w:val="0D0D0D"/>
        </w:rPr>
      </w:pPr>
    </w:p>
    <w:p w14:paraId="7DDA6E77"/>
    <w:p w14:paraId="59EA0F88"/>
    <w:p w14:paraId="0CDC6B3C"/>
    <w:p w14:paraId="781BDCD7">
      <w:pPr>
        <w:pStyle w:val="21"/>
      </w:pPr>
    </w:p>
    <w:p w14:paraId="5A5C1CE0"/>
    <w:p w14:paraId="0CDC34B3">
      <w:pPr>
        <w:pStyle w:val="2"/>
      </w:pPr>
    </w:p>
    <w:p w14:paraId="6DEBA6E8"/>
    <w:p w14:paraId="4C9F857D">
      <w:pPr>
        <w:spacing w:line="360" w:lineRule="auto"/>
        <w:rPr>
          <w:sz w:val="30"/>
          <w:szCs w:val="30"/>
        </w:rPr>
      </w:pPr>
      <w:r>
        <w:rPr>
          <w:rFonts w:hint="eastAsia" w:cs="宋体"/>
          <w:sz w:val="30"/>
          <w:szCs w:val="30"/>
        </w:rPr>
        <w:t>温馨提示：</w:t>
      </w:r>
    </w:p>
    <w:p w14:paraId="0801FDD8">
      <w:pPr>
        <w:spacing w:line="360" w:lineRule="auto"/>
        <w:ind w:firstLine="600" w:firstLineChars="200"/>
        <w:rPr>
          <w:sz w:val="30"/>
          <w:szCs w:val="30"/>
        </w:rPr>
      </w:pPr>
      <w:r>
        <w:rPr>
          <w:rFonts w:hint="eastAsia" w:cs="宋体"/>
          <w:sz w:val="30"/>
          <w:szCs w:val="30"/>
        </w:rPr>
        <w:t>请认真阅读此招标文件，并按规定制作投标文件。投标供应商不得向采购人、代理公司工作人员、评标专家行贿，违者一经查实，将列入政府采购黑名单！</w:t>
      </w:r>
    </w:p>
    <w:p w14:paraId="07FE7C53">
      <w:pPr>
        <w:pStyle w:val="28"/>
        <w:snapToGrid w:val="0"/>
        <w:spacing w:before="156" w:after="156" w:line="360" w:lineRule="auto"/>
        <w:outlineLvl w:val="0"/>
        <w:rPr>
          <w:rFonts w:hAnsi="宋体" w:cs="Times New Roman"/>
          <w:color w:val="0D0D0D"/>
        </w:rPr>
        <w:sectPr>
          <w:headerReference r:id="rId9" w:type="default"/>
          <w:footerReference r:id="rId10" w:type="default"/>
          <w:type w:val="continuous"/>
          <w:pgSz w:w="11906" w:h="16838"/>
          <w:pgMar w:top="1417" w:right="1417" w:bottom="1417" w:left="1417"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26A36D4D">
      <w:pPr>
        <w:pStyle w:val="28"/>
        <w:keepNext w:val="0"/>
        <w:keepLines w:val="0"/>
        <w:pageBreakBefore w:val="0"/>
        <w:kinsoku/>
        <w:overflowPunct/>
        <w:topLinePunct w:val="0"/>
        <w:bidi w:val="0"/>
        <w:snapToGrid w:val="0"/>
        <w:spacing w:beforeLines="0" w:beforeAutospacing="0" w:after="0" w:afterLines="0" w:afterAutospacing="0" w:line="360" w:lineRule="auto"/>
        <w:jc w:val="center"/>
        <w:outlineLvl w:val="0"/>
        <w:rPr>
          <w:rFonts w:hAnsi="宋体" w:cs="Times New Roman"/>
          <w:b/>
          <w:bCs/>
          <w:color w:val="0D0D0D"/>
          <w:sz w:val="36"/>
          <w:szCs w:val="36"/>
        </w:rPr>
      </w:pPr>
      <w:r>
        <w:rPr>
          <w:rFonts w:hint="eastAsia" w:hAnsi="宋体"/>
          <w:b/>
          <w:bCs/>
          <w:color w:val="0D0D0D"/>
          <w:sz w:val="36"/>
          <w:szCs w:val="36"/>
        </w:rPr>
        <w:t>第一章  公开招标采购公告</w:t>
      </w:r>
    </w:p>
    <w:p w14:paraId="601DFB1B">
      <w:pPr>
        <w:keepNext w:val="0"/>
        <w:keepLines w:val="0"/>
        <w:pageBreakBefore w:val="0"/>
        <w:pBdr>
          <w:top w:val="single" w:color="auto" w:sz="4" w:space="1"/>
          <w:left w:val="single" w:color="auto" w:sz="4" w:space="4"/>
          <w:bottom w:val="single" w:color="auto" w:sz="4" w:space="1"/>
          <w:right w:val="single" w:color="auto" w:sz="4" w:space="4"/>
        </w:pBdr>
        <w:kinsoku/>
        <w:overflowPunct/>
        <w:topLinePunct w:val="0"/>
        <w:bidi w:val="0"/>
        <w:spacing w:beforeAutospacing="0" w:after="0" w:afterAutospacing="0" w:line="360" w:lineRule="auto"/>
        <w:ind w:firstLine="480" w:firstLineChars="200"/>
        <w:rPr>
          <w:rFonts w:ascii="仿宋" w:hAnsi="仿宋" w:eastAsia="仿宋" w:cs="仿宋"/>
          <w:sz w:val="24"/>
          <w:szCs w:val="24"/>
        </w:rPr>
      </w:pPr>
      <w:r>
        <w:rPr>
          <w:rFonts w:hint="eastAsia" w:ascii="仿宋" w:hAnsi="仿宋" w:eastAsia="仿宋" w:cs="仿宋"/>
          <w:sz w:val="24"/>
          <w:szCs w:val="24"/>
        </w:rPr>
        <w:t>项目概况</w:t>
      </w:r>
    </w:p>
    <w:p w14:paraId="18B58EBB">
      <w:pPr>
        <w:keepNext w:val="0"/>
        <w:keepLines w:val="0"/>
        <w:pageBreakBefore w:val="0"/>
        <w:pBdr>
          <w:top w:val="single" w:color="auto" w:sz="4" w:space="1"/>
          <w:left w:val="single" w:color="auto" w:sz="4" w:space="4"/>
          <w:bottom w:val="single" w:color="auto" w:sz="4" w:space="1"/>
          <w:right w:val="single" w:color="auto" w:sz="4" w:space="4"/>
        </w:pBdr>
        <w:kinsoku/>
        <w:overflowPunct/>
        <w:topLinePunct w:val="0"/>
        <w:bidi w:val="0"/>
        <w:spacing w:beforeAutospacing="0" w:after="0" w:afterAutospacing="0" w:line="360" w:lineRule="auto"/>
        <w:ind w:firstLine="480" w:firstLineChars="200"/>
        <w:rPr>
          <w:rFonts w:ascii="仿宋" w:hAnsi="仿宋" w:eastAsia="仿宋" w:cs="仿宋"/>
          <w:sz w:val="24"/>
          <w:szCs w:val="24"/>
        </w:rPr>
      </w:pPr>
      <w:r>
        <w:rPr>
          <w:rFonts w:hint="eastAsia" w:ascii="仿宋" w:hAnsi="仿宋" w:eastAsia="仿宋" w:cs="仿宋"/>
          <w:sz w:val="24"/>
          <w:szCs w:val="24"/>
          <w:u w:val="single"/>
        </w:rPr>
        <w:t>根据《中华人民共和国政府采购法》、《政府采购货物和服务招标投标管理办法》、《浙江省财政厅关于印发浙江省政府采购项目电子交易管理暂行办法的通知》等规定，经</w:t>
      </w:r>
      <w:r>
        <w:rPr>
          <w:rFonts w:hint="eastAsia" w:ascii="仿宋" w:hAnsi="仿宋" w:eastAsia="仿宋" w:cs="仿宋"/>
          <w:b/>
          <w:bCs/>
          <w:sz w:val="24"/>
          <w:szCs w:val="24"/>
          <w:u w:val="single"/>
        </w:rPr>
        <w:t>东阳财采</w:t>
      </w:r>
      <w:r>
        <w:rPr>
          <w:rFonts w:hint="eastAsia" w:ascii="仿宋" w:hAnsi="仿宋" w:eastAsia="仿宋" w:cs="仿宋"/>
          <w:b/>
          <w:bCs/>
          <w:color w:val="auto"/>
          <w:sz w:val="24"/>
          <w:szCs w:val="24"/>
          <w:u w:val="single"/>
        </w:rPr>
        <w:t>临[2024]</w:t>
      </w:r>
      <w:r>
        <w:rPr>
          <w:rFonts w:hint="eastAsia" w:ascii="仿宋" w:hAnsi="仿宋" w:eastAsia="仿宋" w:cs="仿宋"/>
          <w:b/>
          <w:bCs/>
          <w:color w:val="auto"/>
          <w:sz w:val="24"/>
          <w:szCs w:val="24"/>
          <w:u w:val="single"/>
          <w:lang w:val="en-US" w:eastAsia="zh-CN"/>
        </w:rPr>
        <w:t>2017</w:t>
      </w:r>
      <w:r>
        <w:rPr>
          <w:rFonts w:hint="eastAsia" w:ascii="仿宋" w:hAnsi="仿宋" w:eastAsia="仿宋" w:cs="仿宋"/>
          <w:b/>
          <w:bCs/>
          <w:color w:val="auto"/>
          <w:sz w:val="24"/>
          <w:szCs w:val="24"/>
          <w:u w:val="single"/>
        </w:rPr>
        <w:t>号</w:t>
      </w:r>
      <w:r>
        <w:rPr>
          <w:rFonts w:hint="eastAsia" w:ascii="仿宋" w:hAnsi="仿宋" w:eastAsia="仿宋" w:cs="仿宋"/>
          <w:b/>
          <w:bCs/>
          <w:sz w:val="24"/>
          <w:szCs w:val="24"/>
          <w:u w:val="single"/>
        </w:rPr>
        <w:t>政府采购预算执行确认书</w:t>
      </w:r>
      <w:r>
        <w:rPr>
          <w:rFonts w:hint="eastAsia" w:ascii="仿宋" w:hAnsi="仿宋" w:eastAsia="仿宋" w:cs="仿宋"/>
          <w:sz w:val="24"/>
          <w:szCs w:val="24"/>
          <w:u w:val="single"/>
        </w:rPr>
        <w:t>批准。现就</w:t>
      </w:r>
      <w:r>
        <w:rPr>
          <w:rFonts w:hint="eastAsia" w:ascii="仿宋" w:hAnsi="仿宋" w:eastAsia="仿宋" w:cs="仿宋"/>
          <w:b/>
          <w:bCs/>
          <w:sz w:val="24"/>
          <w:szCs w:val="24"/>
          <w:u w:val="single"/>
        </w:rPr>
        <w:t>东阳剧院舞台灯光系统建设更新项目</w:t>
      </w:r>
      <w:r>
        <w:rPr>
          <w:rFonts w:hint="eastAsia" w:ascii="仿宋" w:hAnsi="仿宋" w:eastAsia="仿宋" w:cs="仿宋"/>
          <w:sz w:val="24"/>
          <w:szCs w:val="24"/>
          <w:u w:val="single"/>
        </w:rPr>
        <w:t>进行公开招标采购。</w:t>
      </w:r>
      <w:r>
        <w:rPr>
          <w:rFonts w:hint="eastAsia" w:ascii="仿宋" w:hAnsi="仿宋" w:eastAsia="仿宋" w:cs="仿宋"/>
          <w:b/>
          <w:bCs/>
          <w:sz w:val="24"/>
          <w:szCs w:val="24"/>
          <w:u w:val="single"/>
        </w:rPr>
        <w:t xml:space="preserve">[东阳剧院舞台灯光系统建设更新项目] </w:t>
      </w:r>
      <w:r>
        <w:rPr>
          <w:rFonts w:hint="eastAsia" w:ascii="仿宋" w:hAnsi="仿宋" w:eastAsia="仿宋" w:cs="仿宋"/>
          <w:sz w:val="24"/>
          <w:szCs w:val="24"/>
        </w:rPr>
        <w:t>招标项目的潜在投标人应在</w:t>
      </w:r>
      <w:r>
        <w:rPr>
          <w:rFonts w:hint="eastAsia" w:ascii="仿宋" w:hAnsi="仿宋" w:eastAsia="仿宋" w:cs="仿宋"/>
          <w:sz w:val="24"/>
          <w:szCs w:val="24"/>
          <w:u w:val="single"/>
        </w:rPr>
        <w:t>（网址：</w:t>
      </w:r>
      <w:r>
        <w:rPr>
          <w:rFonts w:hint="eastAsia" w:ascii="仿宋" w:hAnsi="仿宋" w:eastAsia="仿宋" w:cs="仿宋"/>
          <w:b/>
          <w:sz w:val="24"/>
          <w:szCs w:val="24"/>
          <w:u w:val="single"/>
        </w:rPr>
        <w:t>浙江政府采购网(https://zfcg.czt.zj.gov.cn/)、东阳市公共资源交易网(http://www.dongyang.gov.cn/ggzyjy/)</w:t>
      </w:r>
      <w:r>
        <w:rPr>
          <w:rFonts w:hint="eastAsia" w:ascii="仿宋" w:hAnsi="仿宋" w:eastAsia="仿宋" w:cs="仿宋"/>
          <w:sz w:val="24"/>
          <w:szCs w:val="24"/>
          <w:u w:val="single"/>
        </w:rPr>
        <w:t>）</w:t>
      </w:r>
      <w:r>
        <w:rPr>
          <w:rFonts w:hint="eastAsia" w:ascii="仿宋" w:hAnsi="仿宋" w:eastAsia="仿宋" w:cs="仿宋"/>
          <w:sz w:val="24"/>
          <w:szCs w:val="24"/>
        </w:rPr>
        <w:t>获取招标文件，并于</w:t>
      </w:r>
      <w:r>
        <w:rPr>
          <w:rFonts w:hint="eastAsia" w:ascii="仿宋" w:hAnsi="仿宋" w:eastAsia="仿宋" w:cs="仿宋"/>
          <w:b/>
          <w:bCs/>
          <w:sz w:val="24"/>
          <w:szCs w:val="24"/>
          <w:u w:val="single"/>
        </w:rPr>
        <w:t>2024年</w:t>
      </w:r>
      <w:r>
        <w:rPr>
          <w:rFonts w:hint="eastAsia" w:ascii="仿宋" w:hAnsi="仿宋" w:eastAsia="仿宋" w:cs="仿宋"/>
          <w:b/>
          <w:bCs/>
          <w:sz w:val="24"/>
          <w:szCs w:val="24"/>
          <w:u w:val="single"/>
          <w:lang w:val="en-US" w:eastAsia="zh-CN"/>
        </w:rPr>
        <w:t>10</w:t>
      </w:r>
      <w:r>
        <w:rPr>
          <w:rFonts w:hint="eastAsia" w:ascii="仿宋" w:hAnsi="仿宋" w:eastAsia="仿宋" w:cs="仿宋"/>
          <w:b/>
          <w:bCs/>
          <w:sz w:val="24"/>
          <w:szCs w:val="24"/>
          <w:u w:val="single"/>
        </w:rPr>
        <w:t>月</w:t>
      </w:r>
      <w:r>
        <w:rPr>
          <w:rFonts w:hint="eastAsia" w:ascii="仿宋" w:hAnsi="仿宋" w:eastAsia="仿宋" w:cs="仿宋"/>
          <w:b/>
          <w:bCs/>
          <w:sz w:val="24"/>
          <w:szCs w:val="24"/>
          <w:u w:val="single"/>
          <w:lang w:val="en-US" w:eastAsia="zh-CN"/>
        </w:rPr>
        <w:t>9</w:t>
      </w:r>
      <w:r>
        <w:rPr>
          <w:rFonts w:hint="eastAsia" w:ascii="仿宋" w:hAnsi="仿宋" w:eastAsia="仿宋" w:cs="仿宋"/>
          <w:b/>
          <w:bCs/>
          <w:sz w:val="24"/>
          <w:szCs w:val="24"/>
          <w:u w:val="single"/>
        </w:rPr>
        <w:t>日08点30分</w:t>
      </w:r>
      <w:r>
        <w:rPr>
          <w:rFonts w:hint="eastAsia" w:ascii="仿宋" w:hAnsi="仿宋" w:eastAsia="仿宋" w:cs="仿宋"/>
          <w:bCs/>
          <w:sz w:val="24"/>
          <w:szCs w:val="24"/>
        </w:rPr>
        <w:t>（北京时间）前递交投标文件</w:t>
      </w:r>
      <w:r>
        <w:rPr>
          <w:rFonts w:hint="eastAsia" w:ascii="仿宋" w:hAnsi="仿宋" w:eastAsia="仿宋" w:cs="仿宋"/>
          <w:sz w:val="24"/>
          <w:szCs w:val="24"/>
        </w:rPr>
        <w:t>。</w:t>
      </w:r>
    </w:p>
    <w:p w14:paraId="10945DD1">
      <w:pPr>
        <w:pStyle w:val="255"/>
        <w:keepNext w:val="0"/>
        <w:keepLines w:val="0"/>
        <w:pageBreakBefore w:val="0"/>
        <w:kinsoku/>
        <w:overflowPunct/>
        <w:topLinePunct w:val="0"/>
        <w:autoSpaceDE/>
        <w:autoSpaceDN/>
        <w:bidi w:val="0"/>
        <w:snapToGrid/>
        <w:spacing w:beforeAutospacing="0" w:after="0" w:afterLines="0" w:afterAutospacing="0" w:line="440" w:lineRule="exact"/>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一、项目基本情况</w:t>
      </w:r>
    </w:p>
    <w:p w14:paraId="7F1F817A">
      <w:pPr>
        <w:keepNext w:val="0"/>
        <w:keepLines w:val="0"/>
        <w:pageBreakBefore w:val="0"/>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b/>
          <w:bCs/>
          <w:kern w:val="0"/>
          <w:sz w:val="24"/>
          <w:szCs w:val="24"/>
        </w:rPr>
        <w:t>项目编号：</w:t>
      </w:r>
      <w:r>
        <w:rPr>
          <w:rFonts w:hint="eastAsia" w:ascii="宋体" w:hAnsi="宋体" w:eastAsia="宋体" w:cs="宋体"/>
          <w:bCs/>
          <w:color w:val="0D0D0D"/>
          <w:sz w:val="24"/>
          <w:szCs w:val="24"/>
        </w:rPr>
        <w:t>JCZFCG2024-Z37-A347</w:t>
      </w:r>
    </w:p>
    <w:p w14:paraId="10AA8ABA">
      <w:pPr>
        <w:pStyle w:val="255"/>
        <w:keepNext w:val="0"/>
        <w:keepLines w:val="0"/>
        <w:pageBreakBefore w:val="0"/>
        <w:kinsoku/>
        <w:overflowPunct/>
        <w:topLinePunct w:val="0"/>
        <w:autoSpaceDE/>
        <w:autoSpaceDN/>
        <w:bidi w:val="0"/>
        <w:snapToGrid/>
        <w:spacing w:beforeAutospacing="0" w:after="0" w:afterLines="0" w:afterAutospacing="0" w:line="440" w:lineRule="exact"/>
        <w:ind w:firstLine="489"/>
        <w:textAlignment w:val="auto"/>
        <w:rPr>
          <w:rFonts w:hint="eastAsia" w:ascii="宋体" w:hAnsi="宋体" w:eastAsia="宋体" w:cs="宋体"/>
          <w:sz w:val="24"/>
          <w:szCs w:val="24"/>
        </w:rPr>
      </w:pPr>
      <w:r>
        <w:rPr>
          <w:rFonts w:hint="eastAsia" w:ascii="宋体" w:hAnsi="宋体" w:eastAsia="宋体" w:cs="宋体"/>
          <w:b/>
          <w:bCs/>
          <w:sz w:val="24"/>
          <w:szCs w:val="24"/>
        </w:rPr>
        <w:t>项目名称</w:t>
      </w:r>
      <w:r>
        <w:rPr>
          <w:rFonts w:hint="eastAsia" w:ascii="宋体" w:hAnsi="宋体" w:eastAsia="宋体" w:cs="宋体"/>
          <w:sz w:val="24"/>
          <w:szCs w:val="24"/>
        </w:rPr>
        <w:t>：东阳剧院舞台灯光系统建设更新项目</w:t>
      </w:r>
    </w:p>
    <w:p w14:paraId="50F7062A">
      <w:pPr>
        <w:keepNext w:val="0"/>
        <w:keepLines w:val="0"/>
        <w:pageBreakBefore w:val="0"/>
        <w:widowControl/>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b/>
          <w:bCs/>
          <w:kern w:val="0"/>
          <w:sz w:val="24"/>
          <w:szCs w:val="24"/>
        </w:rPr>
        <w:t>预算金额：</w:t>
      </w:r>
      <w:r>
        <w:rPr>
          <w:rFonts w:hint="eastAsia" w:ascii="宋体" w:hAnsi="宋体" w:eastAsia="宋体" w:cs="宋体"/>
          <w:kern w:val="0"/>
          <w:sz w:val="24"/>
          <w:szCs w:val="24"/>
        </w:rPr>
        <w:t>503万元</w:t>
      </w:r>
      <w:r>
        <w:rPr>
          <w:rFonts w:hint="eastAsia" w:ascii="宋体" w:hAnsi="宋体" w:eastAsia="宋体" w:cs="宋体"/>
          <w:sz w:val="24"/>
          <w:szCs w:val="24"/>
        </w:rPr>
        <w:t>；</w:t>
      </w:r>
    </w:p>
    <w:p w14:paraId="15CAA807">
      <w:pPr>
        <w:pStyle w:val="255"/>
        <w:keepNext w:val="0"/>
        <w:keepLines w:val="0"/>
        <w:pageBreakBefore w:val="0"/>
        <w:kinsoku/>
        <w:overflowPunct/>
        <w:topLinePunct w:val="0"/>
        <w:autoSpaceDE/>
        <w:autoSpaceDN/>
        <w:bidi w:val="0"/>
        <w:snapToGrid/>
        <w:spacing w:beforeAutospacing="0" w:after="0" w:afterLines="0" w:afterAutospacing="0" w:line="440" w:lineRule="exact"/>
        <w:ind w:firstLine="489"/>
        <w:textAlignment w:val="auto"/>
        <w:rPr>
          <w:rFonts w:hint="eastAsia" w:ascii="宋体" w:hAnsi="宋体" w:eastAsia="宋体" w:cs="宋体"/>
          <w:sz w:val="24"/>
          <w:szCs w:val="24"/>
        </w:rPr>
      </w:pPr>
      <w:r>
        <w:rPr>
          <w:rFonts w:hint="eastAsia" w:ascii="宋体" w:hAnsi="宋体" w:eastAsia="宋体" w:cs="宋体"/>
          <w:b/>
          <w:bCs/>
          <w:sz w:val="24"/>
          <w:szCs w:val="24"/>
        </w:rPr>
        <w:t>最高限价</w:t>
      </w:r>
      <w:r>
        <w:rPr>
          <w:rFonts w:hint="eastAsia" w:ascii="宋体" w:hAnsi="宋体" w:eastAsia="宋体" w:cs="宋体"/>
          <w:sz w:val="24"/>
          <w:szCs w:val="24"/>
        </w:rPr>
        <w:t>：503万元；</w:t>
      </w:r>
    </w:p>
    <w:p w14:paraId="497576C2">
      <w:pPr>
        <w:pStyle w:val="255"/>
        <w:keepNext w:val="0"/>
        <w:keepLines w:val="0"/>
        <w:pageBreakBefore w:val="0"/>
        <w:kinsoku/>
        <w:overflowPunct/>
        <w:topLinePunct w:val="0"/>
        <w:autoSpaceDE/>
        <w:autoSpaceDN/>
        <w:bidi w:val="0"/>
        <w:snapToGrid/>
        <w:spacing w:beforeAutospacing="0" w:after="0" w:afterLines="0" w:afterAutospacing="0" w:line="440" w:lineRule="exact"/>
        <w:ind w:firstLine="489"/>
        <w:textAlignment w:val="auto"/>
        <w:rPr>
          <w:rFonts w:hint="eastAsia" w:ascii="宋体" w:hAnsi="宋体" w:eastAsia="宋体" w:cs="宋体"/>
          <w:sz w:val="24"/>
          <w:szCs w:val="24"/>
        </w:rPr>
      </w:pPr>
      <w:r>
        <w:rPr>
          <w:rFonts w:hint="eastAsia" w:ascii="宋体" w:hAnsi="宋体" w:eastAsia="宋体" w:cs="宋体"/>
          <w:b/>
          <w:bCs/>
          <w:sz w:val="24"/>
          <w:szCs w:val="24"/>
        </w:rPr>
        <w:t>采购需求：</w:t>
      </w:r>
    </w:p>
    <w:p w14:paraId="1B7D0E64">
      <w:pPr>
        <w:keepNext w:val="0"/>
        <w:keepLines w:val="0"/>
        <w:pageBreakBefore w:val="0"/>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简要规格描述或项目基本概况介绍、用途：具体要求详见第二章招标需求。</w:t>
      </w:r>
    </w:p>
    <w:p w14:paraId="455EAC0E">
      <w:pPr>
        <w:keepNext w:val="0"/>
        <w:keepLines w:val="0"/>
        <w:pageBreakBefore w:val="0"/>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备注：</w:t>
      </w:r>
    </w:p>
    <w:p w14:paraId="0F9BCE60">
      <w:pPr>
        <w:keepNext w:val="0"/>
        <w:keepLines w:val="0"/>
        <w:pageBreakBefore w:val="0"/>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合同履约期限：60</w:t>
      </w:r>
      <w:r>
        <w:rPr>
          <w:rFonts w:hint="eastAsia" w:ascii="宋体" w:hAnsi="宋体" w:eastAsia="宋体" w:cs="宋体"/>
          <w:bCs/>
          <w:sz w:val="24"/>
          <w:szCs w:val="24"/>
        </w:rPr>
        <w:t>天。</w:t>
      </w:r>
    </w:p>
    <w:p w14:paraId="532A8813">
      <w:pPr>
        <w:keepNext w:val="0"/>
        <w:keepLines w:val="0"/>
        <w:pageBreakBefore w:val="0"/>
        <w:widowControl/>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本项目接受联合体投标。</w:t>
      </w:r>
    </w:p>
    <w:p w14:paraId="14E270A8">
      <w:pPr>
        <w:keepNext w:val="0"/>
        <w:keepLines w:val="0"/>
        <w:pageBreakBefore w:val="0"/>
        <w:kinsoku/>
        <w:overflowPunct/>
        <w:topLinePunct w:val="0"/>
        <w:autoSpaceDE/>
        <w:autoSpaceDN/>
        <w:bidi w:val="0"/>
        <w:spacing w:beforeAutospacing="0" w:after="0" w:afterAutospacing="0" w:line="440" w:lineRule="exact"/>
        <w:jc w:val="left"/>
        <w:textAlignment w:val="auto"/>
        <w:rPr>
          <w:rFonts w:hint="eastAsia" w:ascii="宋体" w:hAnsi="宋体" w:eastAsia="宋体" w:cs="宋体"/>
          <w:b/>
          <w:bCs/>
          <w:color w:val="000000"/>
          <w:sz w:val="24"/>
          <w:szCs w:val="24"/>
        </w:rPr>
      </w:pPr>
      <w:r>
        <w:rPr>
          <w:rFonts w:hint="eastAsia" w:ascii="宋体" w:hAnsi="宋体" w:eastAsia="宋体" w:cs="宋体"/>
          <w:b/>
          <w:bCs/>
          <w:sz w:val="24"/>
          <w:szCs w:val="24"/>
        </w:rPr>
        <w:t>▲</w:t>
      </w:r>
      <w:r>
        <w:rPr>
          <w:rFonts w:hint="eastAsia" w:ascii="宋体" w:hAnsi="宋体" w:eastAsia="宋体" w:cs="宋体"/>
          <w:b/>
          <w:bCs/>
          <w:color w:val="000000"/>
          <w:sz w:val="24"/>
          <w:szCs w:val="24"/>
        </w:rPr>
        <w:t>二、申请人的资格要求：</w:t>
      </w:r>
    </w:p>
    <w:p w14:paraId="375AC3E5">
      <w:pPr>
        <w:keepNext w:val="0"/>
        <w:keepLines w:val="0"/>
        <w:pageBreakBefore w:val="0"/>
        <w:kinsoku/>
        <w:overflowPunct/>
        <w:topLinePunct w:val="0"/>
        <w:autoSpaceDE/>
        <w:autoSpaceDN/>
        <w:bidi w:val="0"/>
        <w:snapToGrid w:val="0"/>
        <w:spacing w:beforeAutospacing="0" w:after="0" w:afterAutospacing="0"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7DD3B8C6">
      <w:pPr>
        <w:keepNext w:val="0"/>
        <w:keepLines w:val="0"/>
        <w:pageBreakBefore w:val="0"/>
        <w:kinsoku/>
        <w:overflowPunct/>
        <w:topLinePunct w:val="0"/>
        <w:autoSpaceDE/>
        <w:autoSpaceDN/>
        <w:bidi w:val="0"/>
        <w:snapToGrid w:val="0"/>
        <w:spacing w:beforeAutospacing="0" w:after="0" w:afterAutospacing="0" w:line="440" w:lineRule="exact"/>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2.落实政府采购政策需满足的资格要求：</w:t>
      </w:r>
      <w:r>
        <w:rPr>
          <w:rFonts w:hint="eastAsia" w:ascii="宋体" w:hAnsi="宋体" w:eastAsia="宋体" w:cs="宋体"/>
          <w:color w:val="000000"/>
          <w:sz w:val="24"/>
          <w:szCs w:val="24"/>
        </w:rPr>
        <w:t>根据《政府采购促进中小企业发展管理办法》有关规定，本项目仅面向中小型及以下企业可参加投标。</w:t>
      </w:r>
    </w:p>
    <w:p w14:paraId="2899576F">
      <w:pPr>
        <w:keepNext w:val="0"/>
        <w:keepLines w:val="0"/>
        <w:pageBreakBefore w:val="0"/>
        <w:kinsoku/>
        <w:overflowPunct/>
        <w:topLinePunct w:val="0"/>
        <w:autoSpaceDE/>
        <w:autoSpaceDN/>
        <w:bidi w:val="0"/>
        <w:snapToGrid w:val="0"/>
        <w:spacing w:beforeAutospacing="0" w:after="0" w:afterAutospacing="0"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3.投标人注册：非浙江</w:t>
      </w:r>
      <w:r>
        <w:rPr>
          <w:rFonts w:hint="eastAsia" w:ascii="宋体" w:hAnsi="宋体" w:eastAsia="宋体" w:cs="宋体"/>
          <w:kern w:val="0"/>
          <w:sz w:val="24"/>
          <w:szCs w:val="24"/>
        </w:rPr>
        <w:t>政府采购网注册或发生变更且未及时更新的投标人，应当在规定时间内按照《浙江省政府采购供应商注册及诚信管理暂行办法》（浙财采监字［2009］28号）的相关规定及时办理更新或投标人注册事项。</w:t>
      </w:r>
    </w:p>
    <w:p w14:paraId="3699BD62">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投标人应未被列入失信被执行人名单、重大税收违法案件当事人名单、政府采购严重违法失信行为记录名单，信用信息以投标截止日信用中国网站（https://www.creditchina.gov.cn/）、中国政府采购网（http://www.ccgp.gov.cn/）公布为准；</w:t>
      </w:r>
    </w:p>
    <w:p w14:paraId="3592BCC1">
      <w:pPr>
        <w:keepNext w:val="0"/>
        <w:keepLines w:val="0"/>
        <w:pageBreakBefore w:val="0"/>
        <w:kinsoku/>
        <w:overflowPunct/>
        <w:topLinePunct w:val="0"/>
        <w:autoSpaceDE/>
        <w:autoSpaceDN/>
        <w:bidi w:val="0"/>
        <w:spacing w:beforeAutospacing="0" w:after="0" w:afterAutospacing="0" w:line="44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▲三、招标文件的获取：</w:t>
      </w:r>
    </w:p>
    <w:p w14:paraId="131534D8">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1、时间：/至2024年</w:t>
      </w:r>
      <w:r>
        <w:rPr>
          <w:rFonts w:hint="eastAsia" w:ascii="宋体" w:hAnsi="宋体" w:cs="宋体"/>
          <w:sz w:val="24"/>
          <w:szCs w:val="24"/>
          <w:lang w:val="en-US" w:eastAsia="zh-CN"/>
        </w:rPr>
        <w:t>10</w:t>
      </w:r>
      <w:r>
        <w:rPr>
          <w:rFonts w:hint="eastAsia" w:ascii="宋体" w:hAnsi="宋体" w:eastAsia="宋体" w:cs="宋体"/>
          <w:sz w:val="24"/>
          <w:szCs w:val="24"/>
        </w:rPr>
        <w:t>月</w:t>
      </w:r>
      <w:r>
        <w:rPr>
          <w:rFonts w:hint="eastAsia" w:ascii="宋体" w:hAnsi="宋体" w:cs="宋体"/>
          <w:sz w:val="24"/>
          <w:szCs w:val="24"/>
          <w:lang w:val="en-US" w:eastAsia="zh-CN"/>
        </w:rPr>
        <w:t>9</w:t>
      </w:r>
      <w:r>
        <w:rPr>
          <w:rFonts w:hint="eastAsia" w:ascii="宋体" w:hAnsi="宋体" w:eastAsia="宋体" w:cs="宋体"/>
          <w:sz w:val="24"/>
          <w:szCs w:val="24"/>
        </w:rPr>
        <w:t>日08时30分，每天上午00：00至12:00，下午12:00至23:59（北京时间，线上获取法定节假日均可，线下获取文件法定节假日除外）。</w:t>
      </w:r>
    </w:p>
    <w:p w14:paraId="65F2B03C">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2、地点（网址）：浙江政府采购网（https://zfcg.czt.zj.gov.cn/）； </w:t>
      </w:r>
    </w:p>
    <w:p w14:paraId="54336582">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东阳市公共资源交易网(http://www.dongyang.gov.cn/ggzyjy/)。</w:t>
      </w:r>
    </w:p>
    <w:p w14:paraId="685E3DF6">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3、获取方式：由投标单位通过浙江省政府采购网(</w:t>
      </w:r>
      <w:r>
        <w:rPr>
          <w:rFonts w:hint="eastAsia" w:ascii="宋体" w:hAnsi="宋体" w:eastAsia="宋体" w:cs="宋体"/>
          <w:b/>
          <w:sz w:val="24"/>
          <w:szCs w:val="24"/>
          <w:u w:val="single"/>
        </w:rPr>
        <w:t>https://zfcg.czt.zj.gov.cn/</w:t>
      </w:r>
      <w:r>
        <w:rPr>
          <w:rFonts w:hint="eastAsia" w:ascii="宋体" w:hAnsi="宋体" w:eastAsia="宋体" w:cs="宋体"/>
          <w:b/>
          <w:bCs/>
          <w:sz w:val="24"/>
          <w:szCs w:val="24"/>
        </w:rPr>
        <w:t>)上的政采云获取系统进行获取（首次参加投标的单位应先登录浙江省政府采购网(</w:t>
      </w:r>
      <w:r>
        <w:rPr>
          <w:rFonts w:hint="eastAsia" w:ascii="宋体" w:hAnsi="宋体" w:eastAsia="宋体" w:cs="宋体"/>
          <w:b/>
          <w:sz w:val="24"/>
          <w:szCs w:val="24"/>
          <w:u w:val="single"/>
        </w:rPr>
        <w:t>https://zfcg.czt.zj.gov.cn/</w:t>
      </w:r>
      <w:r>
        <w:rPr>
          <w:rFonts w:hint="eastAsia" w:ascii="宋体" w:hAnsi="宋体" w:eastAsia="宋体" w:cs="宋体"/>
          <w:b/>
          <w:bCs/>
          <w:sz w:val="24"/>
          <w:szCs w:val="24"/>
        </w:rPr>
        <w:t>)进行账户注册，注册完毕待审核成功后方可登录获取，注册咨询电话：400-881-7190；注册流程见网址</w:t>
      </w:r>
    </w:p>
    <w:p w14:paraId="78334A61">
      <w:pPr>
        <w:keepNext w:val="0"/>
        <w:keepLines w:val="0"/>
        <w:pageBreakBefore w:val="0"/>
        <w:kinsoku/>
        <w:overflowPunct/>
        <w:topLinePunct w:val="0"/>
        <w:autoSpaceDE/>
        <w:autoSpaceDN/>
        <w:bidi w:val="0"/>
        <w:spacing w:beforeAutospacing="0" w:after="0" w:afterAutospacing="0" w:line="440" w:lineRule="exact"/>
        <w:textAlignment w:val="auto"/>
        <w:rPr>
          <w:rFonts w:hint="eastAsia" w:ascii="宋体" w:hAnsi="宋体" w:eastAsia="宋体" w:cs="宋体"/>
          <w:b/>
          <w:bCs/>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"https://middle.zcygov.cn/v-settle-front/registry" </w:instrText>
      </w:r>
      <w:r>
        <w:rPr>
          <w:rFonts w:hint="eastAsia" w:ascii="宋体" w:hAnsi="宋体" w:eastAsia="宋体" w:cs="宋体"/>
          <w:sz w:val="24"/>
          <w:szCs w:val="24"/>
        </w:rPr>
        <w:fldChar w:fldCharType="separate"/>
      </w:r>
      <w:r>
        <w:rPr>
          <w:rFonts w:hint="eastAsia" w:ascii="宋体" w:hAnsi="宋体" w:eastAsia="宋体" w:cs="宋体"/>
          <w:b/>
          <w:bCs/>
          <w:sz w:val="24"/>
          <w:szCs w:val="24"/>
        </w:rPr>
        <w:t>https://middle.zcygov.cn/v-settle-front/registry</w:t>
      </w:r>
      <w:r>
        <w:rPr>
          <w:rFonts w:hint="eastAsia" w:ascii="宋体" w:hAnsi="宋体" w:eastAsia="宋体" w:cs="宋体"/>
          <w:b/>
          <w:bCs/>
          <w:sz w:val="24"/>
          <w:szCs w:val="24"/>
        </w:rPr>
        <w:fldChar w:fldCharType="end"/>
      </w:r>
      <w:r>
        <w:rPr>
          <w:rFonts w:hint="eastAsia" w:ascii="宋体" w:hAnsi="宋体" w:eastAsia="宋体" w:cs="宋体"/>
          <w:b/>
          <w:bCs/>
          <w:sz w:val="24"/>
          <w:szCs w:val="24"/>
        </w:rPr>
        <w:t>）。</w:t>
      </w:r>
    </w:p>
    <w:p w14:paraId="2D3F0EE0">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4、获取流程：浙江政府采购网-政采云用户登录-用户中心-项目采购-获取采购文件管理，电子版采购文件免费获取。</w:t>
      </w:r>
    </w:p>
    <w:p w14:paraId="2BC0535F">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5、浙江政府采购网上以“游客”身份获取的采购文件仅供阅览；潜在供应商应按上述方式获取采购文件；未按上述方式获取采购文件的，不得对采购文件提起质疑投诉。</w:t>
      </w:r>
    </w:p>
    <w:p w14:paraId="09CB9B52">
      <w:pPr>
        <w:keepNext w:val="0"/>
        <w:keepLines w:val="0"/>
        <w:pageBreakBefore w:val="0"/>
        <w:kinsoku/>
        <w:overflowPunct/>
        <w:topLinePunct w:val="0"/>
        <w:autoSpaceDE/>
        <w:autoSpaceDN/>
        <w:bidi w:val="0"/>
        <w:spacing w:beforeAutospacing="0" w:after="0" w:afterAutospacing="0" w:line="440" w:lineRule="exac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四、提交投标文件截止时间、开标时间和地点</w:t>
      </w:r>
    </w:p>
    <w:p w14:paraId="565A59FA">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提交投标文件截止时间：2024年</w:t>
      </w:r>
      <w:r>
        <w:rPr>
          <w:rFonts w:hint="eastAsia" w:ascii="宋体" w:hAnsi="宋体" w:cs="宋体"/>
          <w:b/>
          <w:bCs/>
          <w:sz w:val="24"/>
          <w:szCs w:val="24"/>
          <w:lang w:val="en-US" w:eastAsia="zh-CN"/>
        </w:rPr>
        <w:t>10</w:t>
      </w:r>
      <w:r>
        <w:rPr>
          <w:rFonts w:hint="eastAsia" w:ascii="宋体" w:hAnsi="宋体" w:eastAsia="宋体" w:cs="宋体"/>
          <w:b/>
          <w:bCs/>
          <w:sz w:val="24"/>
          <w:szCs w:val="24"/>
        </w:rPr>
        <w:t>月</w:t>
      </w:r>
      <w:r>
        <w:rPr>
          <w:rFonts w:hint="eastAsia" w:ascii="宋体" w:hAnsi="宋体" w:cs="宋体"/>
          <w:b/>
          <w:bCs/>
          <w:sz w:val="24"/>
          <w:szCs w:val="24"/>
          <w:lang w:val="en-US" w:eastAsia="zh-CN"/>
        </w:rPr>
        <w:t>9</w:t>
      </w:r>
      <w:r>
        <w:rPr>
          <w:rFonts w:hint="eastAsia" w:ascii="宋体" w:hAnsi="宋体" w:eastAsia="宋体" w:cs="宋体"/>
          <w:b/>
          <w:bCs/>
          <w:sz w:val="24"/>
          <w:szCs w:val="24"/>
        </w:rPr>
        <w:t>日08时30分（北京时间）</w:t>
      </w:r>
    </w:p>
    <w:p w14:paraId="0B033326">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投标地点（网址）：政采云平台</w:t>
      </w:r>
    </w:p>
    <w:p w14:paraId="2CA06A2D">
      <w:pPr>
        <w:keepNext w:val="0"/>
        <w:keepLines w:val="0"/>
        <w:pageBreakBefore w:val="0"/>
        <w:kinsoku/>
        <w:wordWrap/>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b/>
          <w:bCs/>
          <w:sz w:val="24"/>
          <w:szCs w:val="24"/>
        </w:rPr>
        <w:t>开标时间：2024年</w:t>
      </w:r>
      <w:r>
        <w:rPr>
          <w:rFonts w:hint="eastAsia" w:ascii="宋体" w:hAnsi="宋体" w:cs="宋体"/>
          <w:b/>
          <w:bCs/>
          <w:sz w:val="24"/>
          <w:szCs w:val="24"/>
          <w:lang w:val="en-US" w:eastAsia="zh-CN"/>
        </w:rPr>
        <w:t>10</w:t>
      </w:r>
      <w:r>
        <w:rPr>
          <w:rFonts w:hint="eastAsia" w:ascii="宋体" w:hAnsi="宋体" w:eastAsia="宋体" w:cs="宋体"/>
          <w:b/>
          <w:bCs/>
          <w:sz w:val="24"/>
          <w:szCs w:val="24"/>
        </w:rPr>
        <w:t>月</w:t>
      </w:r>
      <w:r>
        <w:rPr>
          <w:rFonts w:hint="eastAsia" w:ascii="宋体" w:hAnsi="宋体" w:cs="宋体"/>
          <w:b/>
          <w:bCs/>
          <w:sz w:val="24"/>
          <w:szCs w:val="24"/>
          <w:lang w:val="en-US" w:eastAsia="zh-CN"/>
        </w:rPr>
        <w:t>9</w:t>
      </w:r>
      <w:r>
        <w:rPr>
          <w:rFonts w:hint="eastAsia" w:ascii="宋体" w:hAnsi="宋体" w:eastAsia="宋体" w:cs="宋体"/>
          <w:b/>
          <w:bCs/>
          <w:sz w:val="24"/>
          <w:szCs w:val="24"/>
        </w:rPr>
        <w:t xml:space="preserve"> 日08时30分 </w:t>
      </w:r>
    </w:p>
    <w:p w14:paraId="3CEC8960">
      <w:pPr>
        <w:keepNext w:val="0"/>
        <w:keepLines w:val="0"/>
        <w:pageBreakBefore w:val="0"/>
        <w:kinsoku/>
        <w:wordWrap/>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开标地点（网址）：政采云平台</w:t>
      </w:r>
    </w:p>
    <w:p w14:paraId="39488026">
      <w:pPr>
        <w:keepNext w:val="0"/>
        <w:keepLines w:val="0"/>
        <w:pageBreakBefore w:val="0"/>
        <w:kinsoku/>
        <w:wordWrap/>
        <w:overflowPunct/>
        <w:topLinePunct w:val="0"/>
        <w:autoSpaceDE/>
        <w:autoSpaceDN/>
        <w:bidi w:val="0"/>
        <w:spacing w:beforeAutospacing="0" w:after="0" w:afterAutospacing="0" w:line="44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五、公告期限</w:t>
      </w:r>
    </w:p>
    <w:p w14:paraId="4AA61EBC">
      <w:pPr>
        <w:keepNext w:val="0"/>
        <w:keepLines w:val="0"/>
        <w:pageBreakBefore w:val="0"/>
        <w:kinsoku/>
        <w:wordWrap/>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自本公告发布之日起5个工作日。</w:t>
      </w:r>
    </w:p>
    <w:p w14:paraId="38E1D837">
      <w:pPr>
        <w:keepNext w:val="0"/>
        <w:keepLines w:val="0"/>
        <w:pageBreakBefore w:val="0"/>
        <w:kinsoku/>
        <w:wordWrap/>
        <w:overflowPunct/>
        <w:topLinePunct w:val="0"/>
        <w:autoSpaceDE/>
        <w:autoSpaceDN/>
        <w:bidi w:val="0"/>
        <w:spacing w:beforeAutospacing="0" w:after="0" w:afterAutospacing="0" w:line="44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六、其他补充事宜</w:t>
      </w:r>
    </w:p>
    <w:p w14:paraId="4B33A48D">
      <w:pPr>
        <w:pStyle w:val="43"/>
        <w:keepNext w:val="0"/>
        <w:keepLines w:val="0"/>
        <w:pageBreakBefore w:val="0"/>
        <w:widowControl/>
        <w:kinsoku/>
        <w:wordWrap/>
        <w:overflowPunct/>
        <w:topLinePunct w:val="0"/>
        <w:autoSpaceDE/>
        <w:autoSpaceDN/>
        <w:bidi w:val="0"/>
        <w:adjustRightInd w:val="0"/>
        <w:snapToGrid w:val="0"/>
        <w:spacing w:before="0" w:beforeAutospacing="0" w:after="0" w:afterAutospacing="0" w:line="440" w:lineRule="exact"/>
        <w:ind w:firstLine="480" w:firstLineChars="200"/>
        <w:jc w:val="both"/>
        <w:textAlignment w:val="auto"/>
        <w:rPr>
          <w:rFonts w:hint="eastAsia"/>
          <w:color w:val="auto"/>
        </w:rPr>
      </w:pPr>
      <w:r>
        <w:rPr>
          <w:rFonts w:hint="eastAsia" w:ascii="宋体" w:hAnsi="宋体" w:eastAsia="宋体" w:cs="宋体"/>
          <w:sz w:val="24"/>
          <w:szCs w:val="24"/>
        </w:rPr>
        <w:t xml:space="preserve"> </w:t>
      </w:r>
      <w:r>
        <w:rPr>
          <w:rFonts w:hint="eastAsia"/>
        </w:rPr>
        <w:t>1、</w:t>
      </w:r>
      <w:r>
        <w:rPr>
          <w:rFonts w:hint="eastAsia"/>
          <w:color w:val="auto"/>
        </w:rPr>
        <w:t>《浙江省财政厅关于进一步发挥政府采购政策功能全力推动经济稳进提质的通知》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助力扎实稳住经济的通知》（浙财采监〔2022〕</w:t>
      </w:r>
      <w:r>
        <w:rPr>
          <w:rFonts w:hint="eastAsia"/>
          <w:color w:val="auto"/>
          <w:lang w:val="en-US" w:eastAsia="zh-CN"/>
        </w:rPr>
        <w:t>8号</w:t>
      </w:r>
      <w:r>
        <w:rPr>
          <w:rFonts w:hint="eastAsia"/>
          <w:color w:val="auto"/>
        </w:rPr>
        <w:t>）已分别于2022年1月29日、2022年2月1日和2022年7月1日开始实施，此前有关规定与上述文件内容不一致的，按上述文件要求执行。</w:t>
      </w:r>
    </w:p>
    <w:p w14:paraId="0EFF410A">
      <w:pPr>
        <w:keepNext w:val="0"/>
        <w:keepLines w:val="0"/>
        <w:pageBreakBefore w:val="0"/>
        <w:kinsoku/>
        <w:wordWrap/>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或在政采云平台线上质疑。质疑供应商对采购人、采购代理机构的答复不满意或者采购人、采购代理机构未在规定的时间内作出答复的，可以在答复期满后十五个工作日内向同级政府采购监督管理部门投诉（投诉网址：http://www.zjzwfw.gov.cn/zjservice/item/detail/index.do?localInnerCode=2ca19a7a-aa2d-4cca-a191-a5edf3bf69f8）。质疑函范本、投诉书范本请到浙江政府采购网下载专区下载。</w:t>
      </w:r>
    </w:p>
    <w:p w14:paraId="39CCF7B1">
      <w:pPr>
        <w:keepNext w:val="0"/>
        <w:keepLines w:val="0"/>
        <w:pageBreakBefore w:val="0"/>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3、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2EA61D8">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本项目实行电子投标，投标文件应按照本项目招标文件和政采云平台的要求编制、加密并递交。投标人在使用系统进行投标的过程中遇到涉及平台使用的任何问题，可致电政采云平台技术支持热线咨询，联系方式：400-881-7190。</w:t>
      </w:r>
    </w:p>
    <w:p w14:paraId="3974112C">
      <w:pPr>
        <w:keepNext w:val="0"/>
        <w:keepLines w:val="0"/>
        <w:pageBreakBefore w:val="0"/>
        <w:kinsoku/>
        <w:wordWrap w:val="0"/>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5、投 标 人 应 在 开 标 前 完 成 CA 数 字 证 书 办 理 。 （ 办 理 流 程 详 见http://zfcg.czt.zj.gov.cn/bidClientTemplate/2019-05-27/12945.html）。完成 CA 数字证书办理预计一周左右，因未办理CA数字证书等原因造成无法投标或投标失败等后果由供应商自行承担。</w:t>
      </w:r>
    </w:p>
    <w:p w14:paraId="3EDF8C51">
      <w:pPr>
        <w:keepNext w:val="0"/>
        <w:keepLines w:val="0"/>
        <w:pageBreakBefore w:val="0"/>
        <w:kinsoku/>
        <w:wordWrap w:val="0"/>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6、投标人通过政采云平台电子投标工具制作投标文件，电子投标工具请供应商自行前往浙江省政府采购网下载并安装，（下载网址：https://zfcg.czt.zj.gov.cn/bidClientTemplate/2021-01-07/12975.html），（ 电 子 投 标 相 关 学 习 网 址 ：https://edu.zcygov.cn/luban/e-biding?utm=a0004.2ef5001f.0001.0109.2d44db10df9111e9b92b0f36d4889416）。</w:t>
      </w:r>
    </w:p>
    <w:p w14:paraId="7F98F194">
      <w:pPr>
        <w:keepNext w:val="0"/>
        <w:keepLines w:val="0"/>
        <w:pageBreakBefore w:val="0"/>
        <w:tabs>
          <w:tab w:val="left" w:pos="0"/>
        </w:tabs>
        <w:kinsoku/>
        <w:overflowPunct/>
        <w:topLinePunct w:val="0"/>
        <w:autoSpaceDE/>
        <w:autoSpaceDN/>
        <w:bidi w:val="0"/>
        <w:adjustRightInd w:val="0"/>
        <w:snapToGrid w:val="0"/>
        <w:spacing w:beforeAutospacing="0" w:after="0" w:afterAutospacing="0" w:line="44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7、根据《浙江省财政厅关于进一步加大政府采购支持中小企业力度 助力扎实稳住经济的通知》（浙财采监〔2022〕8号）简化对政府采购供应商资格条件的形式审查，供应商书面承诺符合参与政府采购活动资格条件的，不需要再提供财务状况报告、依法缴纳税收和社会保障资金记录、无重大违法记录等证明材料。</w:t>
      </w:r>
    </w:p>
    <w:p w14:paraId="6C43EE86">
      <w:pPr>
        <w:keepNext w:val="0"/>
        <w:keepLines w:val="0"/>
        <w:pageBreakBefore w:val="0"/>
        <w:tabs>
          <w:tab w:val="left" w:pos="0"/>
        </w:tabs>
        <w:kinsoku/>
        <w:overflowPunct/>
        <w:topLinePunct w:val="0"/>
        <w:autoSpaceDE/>
        <w:autoSpaceDN/>
        <w:bidi w:val="0"/>
        <w:adjustRightInd w:val="0"/>
        <w:snapToGrid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kern w:val="0"/>
          <w:sz w:val="24"/>
          <w:szCs w:val="24"/>
        </w:rPr>
        <w:t>8、本项目要求投标人</w:t>
      </w:r>
      <w:r>
        <w:rPr>
          <w:rFonts w:hint="eastAsia" w:ascii="宋体" w:hAnsi="宋体" w:eastAsia="宋体" w:cs="宋体"/>
          <w:sz w:val="24"/>
          <w:szCs w:val="24"/>
        </w:rPr>
        <w:t>带规定的样品参加投标。</w:t>
      </w:r>
    </w:p>
    <w:p w14:paraId="03AC2F85">
      <w:pPr>
        <w:keepNext w:val="0"/>
        <w:keepLines w:val="0"/>
        <w:pageBreakBefore w:val="0"/>
        <w:tabs>
          <w:tab w:val="left" w:pos="0"/>
        </w:tabs>
        <w:kinsoku/>
        <w:overflowPunct/>
        <w:topLinePunct w:val="0"/>
        <w:autoSpaceDE/>
        <w:autoSpaceDN/>
        <w:bidi w:val="0"/>
        <w:adjustRightInd w:val="0"/>
        <w:snapToGrid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为确保招投标活动的公开、公平、公正，切实维护各方合法权益，凡在招标投标、开标评标过程中，受到敲诈、勒索或发现围标串标、虚假投标、恶意竞标等涉黑涉恶线索者，请及时保留相关证据并向有关部门举报。举报电话：</w:t>
      </w:r>
    </w:p>
    <w:p w14:paraId="788D1D04">
      <w:pPr>
        <w:keepNext w:val="0"/>
        <w:keepLines w:val="0"/>
        <w:pageBreakBefore w:val="0"/>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市扫黑办：0579-86655381             市公安局：110、0579-86096000</w:t>
      </w:r>
    </w:p>
    <w:p w14:paraId="48456518">
      <w:pPr>
        <w:keepNext w:val="0"/>
        <w:keepLines w:val="0"/>
        <w:pageBreakBefore w:val="0"/>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市检察院: 0579-86642000             市 法 院：0579-86620148</w:t>
      </w:r>
    </w:p>
    <w:p w14:paraId="41BCF6FA">
      <w:pPr>
        <w:keepNext w:val="0"/>
        <w:keepLines w:val="0"/>
        <w:pageBreakBefore w:val="0"/>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市公共资源办:0579-86691835          市公共资</w:t>
      </w:r>
      <w:r>
        <w:rPr>
          <w:rFonts w:hint="eastAsia" w:ascii="宋体" w:hAnsi="宋体" w:eastAsia="宋体" w:cs="宋体"/>
          <w:color w:val="000000"/>
          <w:sz w:val="24"/>
          <w:szCs w:val="24"/>
        </w:rPr>
        <w:t>源交易中心:0579-86691729</w:t>
      </w:r>
    </w:p>
    <w:p w14:paraId="22B2A5ED">
      <w:pPr>
        <w:pStyle w:val="47"/>
        <w:keepNext w:val="0"/>
        <w:keepLines w:val="0"/>
        <w:pageBreakBefore w:val="0"/>
        <w:kinsoku/>
        <w:overflowPunct/>
        <w:topLinePunct w:val="0"/>
        <w:autoSpaceDE/>
        <w:autoSpaceDN/>
        <w:bidi w:val="0"/>
        <w:spacing w:beforeAutospacing="0" w:after="0" w:afterAutospacing="0" w:line="440" w:lineRule="exact"/>
        <w:ind w:firstLine="0" w:firstLineChars="0"/>
        <w:textAlignment w:val="auto"/>
        <w:rPr>
          <w:rFonts w:hint="eastAsia" w:ascii="宋体" w:hAnsi="宋体" w:eastAsia="宋体" w:cs="宋体"/>
          <w:b/>
          <w:bCs/>
          <w:sz w:val="24"/>
          <w:szCs w:val="24"/>
        </w:rPr>
      </w:pPr>
      <w:r>
        <w:rPr>
          <w:rFonts w:hint="eastAsia" w:ascii="宋体" w:hAnsi="宋体" w:eastAsia="宋体" w:cs="宋体"/>
          <w:b/>
          <w:bCs/>
          <w:color w:val="000000"/>
          <w:sz w:val="24"/>
          <w:szCs w:val="24"/>
        </w:rPr>
        <w:t>七、</w:t>
      </w:r>
      <w:r>
        <w:rPr>
          <w:rFonts w:hint="eastAsia" w:ascii="宋体" w:hAnsi="宋体" w:eastAsia="宋体" w:cs="宋体"/>
          <w:b/>
          <w:bCs/>
          <w:sz w:val="24"/>
          <w:szCs w:val="24"/>
        </w:rPr>
        <w:t>对本次采购提出询问、质疑、投诉，请按以下方式联系：</w:t>
      </w:r>
    </w:p>
    <w:p w14:paraId="30D44EF7">
      <w:pPr>
        <w:keepNext w:val="0"/>
        <w:keepLines w:val="0"/>
        <w:pageBreakBefore w:val="0"/>
        <w:kinsoku/>
        <w:overflowPunct/>
        <w:topLinePunct w:val="0"/>
        <w:autoSpaceDE/>
        <w:autoSpaceDN/>
        <w:bidi w:val="0"/>
        <w:spacing w:beforeAutospacing="0" w:after="0" w:afterAutospacing="0" w:line="440" w:lineRule="exact"/>
        <w:ind w:firstLine="480"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1、采购人信息</w:t>
      </w:r>
    </w:p>
    <w:p w14:paraId="5AEFCE9B">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名称：东阳市婺剧艺术传承中心</w:t>
      </w:r>
    </w:p>
    <w:p w14:paraId="048A2992">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项目联系人（询问）：宋巧萍</w:t>
      </w:r>
    </w:p>
    <w:p w14:paraId="51A25D80">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项目联系方式（询问）：13758932099 </w:t>
      </w:r>
    </w:p>
    <w:p w14:paraId="4C635F7A">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质疑联系人：傅</w:t>
      </w:r>
      <w:r>
        <w:rPr>
          <w:rFonts w:hint="eastAsia" w:ascii="宋体" w:hAnsi="宋体" w:eastAsia="宋体" w:cs="宋体"/>
          <w:color w:val="auto"/>
          <w:sz w:val="24"/>
          <w:szCs w:val="24"/>
          <w:lang w:val="en-US" w:eastAsia="zh-CN"/>
        </w:rPr>
        <w:t>绍清</w:t>
      </w:r>
    </w:p>
    <w:p w14:paraId="62CA4D78">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质疑联系方式：</w:t>
      </w:r>
      <w:r>
        <w:rPr>
          <w:rFonts w:hint="eastAsia" w:ascii="宋体" w:hAnsi="宋体" w:eastAsia="宋体" w:cs="宋体"/>
          <w:color w:val="auto"/>
          <w:sz w:val="24"/>
          <w:szCs w:val="24"/>
          <w:lang w:val="en-US" w:eastAsia="zh-CN"/>
        </w:rPr>
        <w:t>13665870976</w:t>
      </w:r>
    </w:p>
    <w:p w14:paraId="63A6045C">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2、采购代理机构信息</w:t>
      </w:r>
    </w:p>
    <w:p w14:paraId="7D88B8AB">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名称：</w:t>
      </w:r>
      <w:r>
        <w:rPr>
          <w:rFonts w:hint="eastAsia" w:ascii="宋体" w:hAnsi="宋体" w:eastAsia="宋体" w:cs="宋体"/>
          <w:sz w:val="24"/>
          <w:szCs w:val="24"/>
        </w:rPr>
        <w:t>金华市金诚招投标代理有限公司</w:t>
      </w:r>
    </w:p>
    <w:p w14:paraId="18412A4F">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地址：东阳市江北街道关山北路20号</w:t>
      </w:r>
    </w:p>
    <w:p w14:paraId="1F6621E1">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项目联系人</w:t>
      </w:r>
      <w:r>
        <w:rPr>
          <w:rFonts w:hint="eastAsia" w:ascii="宋体" w:hAnsi="宋体" w:eastAsia="宋体" w:cs="宋体"/>
          <w:sz w:val="24"/>
          <w:szCs w:val="24"/>
        </w:rPr>
        <w:t>（询问）</w:t>
      </w:r>
      <w:r>
        <w:rPr>
          <w:rFonts w:hint="eastAsia" w:ascii="宋体" w:hAnsi="宋体" w:eastAsia="宋体" w:cs="宋体"/>
          <w:color w:val="000000"/>
          <w:sz w:val="24"/>
          <w:szCs w:val="24"/>
        </w:rPr>
        <w:t xml:space="preserve">：张晓亮/郑煜    </w:t>
      </w:r>
    </w:p>
    <w:p w14:paraId="07A16B2A">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项目联系方式（询问）</w:t>
      </w:r>
      <w:r>
        <w:rPr>
          <w:rFonts w:hint="eastAsia" w:ascii="宋体" w:hAnsi="宋体" w:eastAsia="宋体" w:cs="宋体"/>
          <w:color w:val="000000"/>
          <w:sz w:val="24"/>
          <w:szCs w:val="24"/>
        </w:rPr>
        <w:t>：</w:t>
      </w:r>
      <w:r>
        <w:rPr>
          <w:rFonts w:hint="eastAsia" w:ascii="宋体" w:hAnsi="宋体" w:eastAsia="宋体" w:cs="宋体"/>
          <w:sz w:val="24"/>
          <w:szCs w:val="24"/>
        </w:rPr>
        <w:t>13505890861</w:t>
      </w:r>
    </w:p>
    <w:p w14:paraId="24BA36DD">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质疑联系人：李健健/张冬            </w:t>
      </w:r>
    </w:p>
    <w:p w14:paraId="2E18E560">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sz w:val="24"/>
          <w:szCs w:val="24"/>
        </w:rPr>
        <w:t>质疑联系方式：0579-89311055</w:t>
      </w:r>
    </w:p>
    <w:p w14:paraId="68C5FA92">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3、同级政府采购监督管理部门：        </w:t>
      </w:r>
    </w:p>
    <w:p w14:paraId="6349DAC7">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名称：东阳市财政局采购办    </w:t>
      </w:r>
    </w:p>
    <w:p w14:paraId="77A31C55">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地址：东阳市人民北路8号     </w:t>
      </w:r>
    </w:p>
    <w:p w14:paraId="5A4B2E48">
      <w:pPr>
        <w:keepNext w:val="0"/>
        <w:keepLines w:val="0"/>
        <w:pageBreakBefore w:val="0"/>
        <w:kinsoku/>
        <w:overflowPunct/>
        <w:topLinePunct w:val="0"/>
        <w:autoSpaceDE/>
        <w:autoSpaceDN/>
        <w:bidi w:val="0"/>
        <w:spacing w:beforeAutospacing="0" w:after="0" w:afterAutospacing="0" w:line="440" w:lineRule="exact"/>
        <w:ind w:firstLine="480" w:firstLineChars="200"/>
        <w:textAlignment w:val="auto"/>
        <w:rPr>
          <w:rFonts w:hint="eastAsia" w:ascii="宋体" w:hAnsi="宋体" w:eastAsia="宋体" w:cs="宋体"/>
          <w:b/>
          <w:sz w:val="24"/>
          <w:szCs w:val="24"/>
        </w:rPr>
      </w:pPr>
      <w:r>
        <w:rPr>
          <w:rFonts w:hint="eastAsia" w:ascii="宋体" w:hAnsi="宋体" w:eastAsia="宋体" w:cs="宋体"/>
          <w:color w:val="000000"/>
          <w:sz w:val="24"/>
          <w:szCs w:val="24"/>
        </w:rPr>
        <w:t>监督投诉电话：0579-86662677</w:t>
      </w:r>
    </w:p>
    <w:p w14:paraId="14C459FF">
      <w:pPr>
        <w:keepNext w:val="0"/>
        <w:keepLines w:val="0"/>
        <w:pageBreakBefore w:val="0"/>
        <w:kinsoku/>
        <w:overflowPunct/>
        <w:topLinePunct w:val="0"/>
        <w:bidi w:val="0"/>
        <w:spacing w:beforeAutospacing="0" w:after="0" w:afterAutospacing="0" w:line="360" w:lineRule="auto"/>
        <w:jc w:val="right"/>
        <w:rPr>
          <w:rFonts w:hint="eastAsia" w:ascii="宋体" w:hAnsi="宋体" w:eastAsia="宋体" w:cs="宋体"/>
          <w:sz w:val="24"/>
          <w:szCs w:val="24"/>
        </w:rPr>
      </w:pPr>
      <w:r>
        <w:rPr>
          <w:rFonts w:hint="eastAsia" w:ascii="宋体" w:hAnsi="宋体" w:eastAsia="宋体" w:cs="宋体"/>
          <w:color w:val="000000"/>
          <w:sz w:val="24"/>
          <w:szCs w:val="24"/>
        </w:rPr>
        <w:t>东阳市婺剧艺术传承中心</w:t>
      </w:r>
    </w:p>
    <w:p w14:paraId="3152F3CD">
      <w:pPr>
        <w:keepNext w:val="0"/>
        <w:keepLines w:val="0"/>
        <w:pageBreakBefore w:val="0"/>
        <w:kinsoku/>
        <w:overflowPunct/>
        <w:topLinePunct w:val="0"/>
        <w:bidi w:val="0"/>
        <w:spacing w:beforeAutospacing="0" w:after="0" w:afterAutospacing="0" w:line="360" w:lineRule="auto"/>
        <w:jc w:val="right"/>
        <w:rPr>
          <w:rFonts w:hint="eastAsia" w:ascii="宋体" w:hAnsi="宋体" w:eastAsia="宋体" w:cs="宋体"/>
          <w:sz w:val="24"/>
          <w:szCs w:val="24"/>
        </w:rPr>
      </w:pPr>
      <w:r>
        <w:rPr>
          <w:rFonts w:hint="eastAsia" w:ascii="宋体" w:hAnsi="宋体" w:eastAsia="宋体" w:cs="宋体"/>
          <w:sz w:val="24"/>
          <w:szCs w:val="24"/>
        </w:rPr>
        <w:t>金华市金诚招投标代理有限公司</w:t>
      </w:r>
    </w:p>
    <w:p w14:paraId="2BBBB2B8">
      <w:pPr>
        <w:keepNext w:val="0"/>
        <w:keepLines w:val="0"/>
        <w:pageBreakBefore w:val="0"/>
        <w:kinsoku/>
        <w:overflowPunct/>
        <w:topLinePunct w:val="0"/>
        <w:bidi w:val="0"/>
        <w:spacing w:beforeAutospacing="0" w:after="0" w:afterAutospacing="0" w:line="360" w:lineRule="auto"/>
        <w:jc w:val="right"/>
        <w:rPr>
          <w:rFonts w:hint="eastAsia" w:ascii="宋体" w:hAnsi="宋体" w:eastAsia="宋体" w:cs="宋体"/>
          <w:sz w:val="24"/>
          <w:szCs w:val="24"/>
        </w:rPr>
      </w:pPr>
      <w:r>
        <w:rPr>
          <w:rFonts w:hint="eastAsia" w:ascii="宋体" w:hAnsi="宋体" w:eastAsia="宋体" w:cs="宋体"/>
          <w:sz w:val="24"/>
          <w:szCs w:val="24"/>
        </w:rPr>
        <w:t>202</w:t>
      </w:r>
      <w:r>
        <w:rPr>
          <w:rFonts w:hint="eastAsia" w:ascii="宋体" w:hAnsi="宋体" w:cs="宋体"/>
          <w:sz w:val="24"/>
          <w:szCs w:val="24"/>
          <w:lang w:val="en-US" w:eastAsia="zh-CN"/>
        </w:rPr>
        <w:t>4</w:t>
      </w:r>
      <w:r>
        <w:rPr>
          <w:rFonts w:hint="eastAsia" w:ascii="宋体" w:hAnsi="宋体" w:eastAsia="宋体" w:cs="宋体"/>
          <w:sz w:val="24"/>
          <w:szCs w:val="24"/>
        </w:rPr>
        <w:t>年9月1</w:t>
      </w:r>
      <w:r>
        <w:rPr>
          <w:rFonts w:hint="eastAsia" w:ascii="宋体" w:hAnsi="宋体" w:eastAsia="宋体" w:cs="宋体"/>
          <w:sz w:val="24"/>
          <w:szCs w:val="24"/>
          <w:lang w:val="en-US" w:eastAsia="zh-CN"/>
        </w:rPr>
        <w:t>4</w:t>
      </w:r>
      <w:r>
        <w:rPr>
          <w:rFonts w:hint="eastAsia" w:ascii="宋体" w:hAnsi="宋体" w:eastAsia="宋体" w:cs="宋体"/>
          <w:sz w:val="24"/>
          <w:szCs w:val="24"/>
        </w:rPr>
        <w:t>日</w:t>
      </w:r>
    </w:p>
    <w:p w14:paraId="7C2553E7">
      <w:pPr>
        <w:keepNext w:val="0"/>
        <w:keepLines w:val="0"/>
        <w:pageBreakBefore w:val="0"/>
        <w:kinsoku/>
        <w:overflowPunct/>
        <w:topLinePunct w:val="0"/>
        <w:bidi w:val="0"/>
        <w:spacing w:beforeAutospacing="0" w:after="0" w:afterAutospacing="0"/>
        <w:rPr>
          <w:rFonts w:ascii="宋体" w:hAnsi="宋体" w:cs="宋体"/>
          <w:sz w:val="24"/>
          <w:szCs w:val="24"/>
        </w:rPr>
      </w:pPr>
      <w:r>
        <w:rPr>
          <w:rFonts w:hint="eastAsia" w:ascii="宋体" w:hAnsi="宋体" w:cs="宋体"/>
          <w:sz w:val="24"/>
          <w:szCs w:val="24"/>
        </w:rPr>
        <w:br w:type="page"/>
      </w:r>
    </w:p>
    <w:p w14:paraId="1DE4A27C">
      <w:pPr>
        <w:keepNext w:val="0"/>
        <w:keepLines w:val="0"/>
        <w:pageBreakBefore w:val="0"/>
        <w:kinsoku/>
        <w:overflowPunct/>
        <w:topLinePunct w:val="0"/>
        <w:bidi w:val="0"/>
        <w:spacing w:beforeAutospacing="0" w:after="0" w:afterAutospacing="0"/>
        <w:jc w:val="center"/>
        <w:rPr>
          <w:rFonts w:hAnsi="宋体"/>
          <w:b/>
          <w:bCs/>
          <w:color w:val="0D0D0D"/>
          <w:sz w:val="36"/>
          <w:szCs w:val="36"/>
        </w:rPr>
      </w:pPr>
      <w:r>
        <w:rPr>
          <w:rFonts w:hint="eastAsia" w:hAnsi="宋体"/>
          <w:b/>
          <w:bCs/>
          <w:color w:val="0D0D0D"/>
          <w:sz w:val="36"/>
          <w:szCs w:val="36"/>
        </w:rPr>
        <w:t>第二章  招标需求</w:t>
      </w:r>
    </w:p>
    <w:p w14:paraId="2AD15358">
      <w:pPr>
        <w:pStyle w:val="28"/>
        <w:keepNext w:val="0"/>
        <w:keepLines w:val="0"/>
        <w:pageBreakBefore w:val="0"/>
        <w:kinsoku/>
        <w:overflowPunct/>
        <w:topLinePunct w:val="0"/>
        <w:bidi w:val="0"/>
        <w:spacing w:beforeLines="0" w:beforeAutospacing="0" w:after="0" w:afterLines="0" w:afterAutospacing="0" w:line="360" w:lineRule="auto"/>
        <w:outlineLvl w:val="0"/>
        <w:rPr>
          <w:rFonts w:hAnsi="宋体"/>
          <w:b/>
          <w:bCs/>
        </w:rPr>
      </w:pPr>
      <w:r>
        <w:rPr>
          <w:rFonts w:hint="eastAsia" w:hAnsi="宋体"/>
          <w:b/>
          <w:bCs/>
        </w:rPr>
        <w:t>一、项目基本情况</w:t>
      </w:r>
    </w:p>
    <w:p w14:paraId="7F46202B">
      <w:pPr>
        <w:pStyle w:val="28"/>
        <w:keepNext w:val="0"/>
        <w:keepLines w:val="0"/>
        <w:pageBreakBefore w:val="0"/>
        <w:kinsoku/>
        <w:overflowPunct/>
        <w:topLinePunct w:val="0"/>
        <w:bidi w:val="0"/>
        <w:spacing w:beforeLines="0" w:beforeAutospacing="0" w:after="0" w:afterLines="0" w:afterAutospacing="0" w:line="360" w:lineRule="auto"/>
        <w:ind w:firstLine="480" w:firstLineChars="200"/>
        <w:outlineLvl w:val="0"/>
        <w:rPr>
          <w:rFonts w:hAnsi="宋体"/>
        </w:rPr>
      </w:pPr>
      <w:r>
        <w:rPr>
          <w:rFonts w:hint="eastAsia" w:hAnsi="宋体"/>
          <w:b/>
          <w:bCs/>
        </w:rPr>
        <w:t>1、项目编号：</w:t>
      </w:r>
      <w:r>
        <w:rPr>
          <w:rFonts w:hint="eastAsia" w:hAnsi="宋体"/>
        </w:rPr>
        <w:t>JCZFCG2024-Z37-A347</w:t>
      </w:r>
    </w:p>
    <w:p w14:paraId="70FE08F8">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b/>
          <w:bCs/>
        </w:rPr>
        <w:t>2、项目名称：</w:t>
      </w:r>
      <w:r>
        <w:rPr>
          <w:rFonts w:hint="eastAsia" w:hAnsi="宋体"/>
        </w:rPr>
        <w:t>东阳剧院舞台灯光系统建设更新项目</w:t>
      </w:r>
    </w:p>
    <w:p w14:paraId="14E5246D">
      <w:pPr>
        <w:keepNext w:val="0"/>
        <w:keepLines w:val="0"/>
        <w:pageBreakBefore w:val="0"/>
        <w:kinsoku/>
        <w:overflowPunct/>
        <w:topLinePunct w:val="0"/>
        <w:bidi w:val="0"/>
        <w:spacing w:beforeAutospacing="0" w:after="0" w:afterAutospacing="0" w:line="360" w:lineRule="auto"/>
        <w:ind w:firstLine="560"/>
        <w:rPr>
          <w:rFonts w:ascii="宋体" w:hAnsi="宋体" w:cs="宋体"/>
          <w:b/>
          <w:kern w:val="0"/>
          <w:sz w:val="24"/>
          <w:szCs w:val="24"/>
        </w:rPr>
      </w:pPr>
      <w:r>
        <w:rPr>
          <w:rFonts w:hint="eastAsia" w:ascii="宋体" w:hAnsi="宋体" w:cs="宋体"/>
          <w:b/>
          <w:bCs/>
          <w:sz w:val="24"/>
          <w:szCs w:val="24"/>
        </w:rPr>
        <w:t>3、项目主要内容：</w:t>
      </w:r>
      <w:r>
        <w:rPr>
          <w:rFonts w:hint="eastAsia" w:ascii="宋体" w:hAnsi="宋体" w:cs="宋体"/>
          <w:sz w:val="24"/>
          <w:szCs w:val="24"/>
        </w:rPr>
        <w:t>东阳剧院舞台灯光系统建设主要包括灯光控制系统、网络系统、电源系统、演出灯</w:t>
      </w:r>
      <w:r>
        <w:rPr>
          <w:rFonts w:hint="eastAsia" w:ascii="宋体" w:hAnsi="宋体" w:cs="宋体"/>
          <w:sz w:val="24"/>
          <w:szCs w:val="24"/>
          <w:highlight w:val="none"/>
        </w:rPr>
        <w:t>具、安装服务等组成。由</w:t>
      </w:r>
      <w:r>
        <w:rPr>
          <w:rFonts w:hint="eastAsia" w:ascii="宋体" w:hAnsi="宋体" w:cs="宋体"/>
          <w:sz w:val="24"/>
          <w:szCs w:val="24"/>
        </w:rPr>
        <w:t>于本项目时间紧、要求高，要求供应商切实</w:t>
      </w:r>
      <w:r>
        <w:rPr>
          <w:rFonts w:hint="eastAsia" w:ascii="宋体" w:hAnsi="宋体" w:cs="宋体"/>
          <w:bCs/>
          <w:sz w:val="24"/>
          <w:szCs w:val="24"/>
        </w:rPr>
        <w:t>做好前期调研和工作方案的深化设计，供货及安装过程中保质保量完成项目实施，</w:t>
      </w:r>
      <w:r>
        <w:rPr>
          <w:rFonts w:hint="eastAsia" w:ascii="宋体" w:hAnsi="宋体" w:cs="宋体"/>
          <w:sz w:val="24"/>
          <w:szCs w:val="24"/>
        </w:rPr>
        <w:t>且过程中必须做好东阳剧院舞台的成品保护。</w:t>
      </w:r>
    </w:p>
    <w:p w14:paraId="32BDDACA">
      <w:pPr>
        <w:keepNext w:val="0"/>
        <w:keepLines w:val="0"/>
        <w:pageBreakBefore w:val="0"/>
        <w:kinsoku/>
        <w:overflowPunct/>
        <w:topLinePunct w:val="0"/>
        <w:bidi w:val="0"/>
        <w:spacing w:beforeAutospacing="0" w:after="0" w:afterAutospacing="0" w:line="360" w:lineRule="auto"/>
        <w:rPr>
          <w:rFonts w:ascii="宋体" w:hAnsi="宋体" w:cs="宋体"/>
          <w:b/>
          <w:sz w:val="24"/>
          <w:szCs w:val="24"/>
        </w:rPr>
      </w:pPr>
      <w:r>
        <w:rPr>
          <w:rFonts w:hint="eastAsia" w:ascii="宋体" w:hAnsi="宋体" w:cs="宋体"/>
          <w:b/>
          <w:sz w:val="24"/>
          <w:szCs w:val="24"/>
        </w:rPr>
        <w:t>二、项目采购清单及技术参数要求</w:t>
      </w:r>
    </w:p>
    <w:tbl>
      <w:tblPr>
        <w:tblStyle w:val="49"/>
        <w:tblW w:w="8806" w:type="dxa"/>
        <w:tblInd w:w="96" w:type="dxa"/>
        <w:tblLayout w:type="autofit"/>
        <w:tblCellMar>
          <w:top w:w="0" w:type="dxa"/>
          <w:left w:w="108" w:type="dxa"/>
          <w:bottom w:w="0" w:type="dxa"/>
          <w:right w:w="108" w:type="dxa"/>
        </w:tblCellMar>
      </w:tblPr>
      <w:tblGrid>
        <w:gridCol w:w="682"/>
        <w:gridCol w:w="1248"/>
        <w:gridCol w:w="3900"/>
        <w:gridCol w:w="732"/>
        <w:gridCol w:w="672"/>
        <w:gridCol w:w="1572"/>
      </w:tblGrid>
      <w:tr w14:paraId="4723F144">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7D4C3">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color w:val="000000"/>
              </w:rPr>
            </w:pPr>
            <w:r>
              <w:rPr>
                <w:rFonts w:hint="eastAsia" w:ascii="宋体" w:hAnsi="宋体" w:cs="宋体"/>
                <w:b/>
                <w:bCs/>
                <w:color w:val="000000"/>
                <w:kern w:val="0"/>
                <w:lang w:bidi="ar"/>
              </w:rPr>
              <w:t>序号</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8862">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color w:val="000000"/>
              </w:rPr>
            </w:pPr>
            <w:r>
              <w:rPr>
                <w:rFonts w:hint="eastAsia" w:ascii="宋体" w:hAnsi="宋体" w:cs="宋体"/>
                <w:b/>
                <w:bCs/>
                <w:color w:val="000000"/>
                <w:kern w:val="0"/>
                <w:lang w:bidi="ar"/>
              </w:rPr>
              <w:t>设备名称</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D629C">
            <w:pPr>
              <w:keepNext w:val="0"/>
              <w:keepLines w:val="0"/>
              <w:pageBreakBefore w:val="0"/>
              <w:widowControl/>
              <w:kinsoku/>
              <w:overflowPunct/>
              <w:topLinePunct w:val="0"/>
              <w:bidi w:val="0"/>
              <w:spacing w:beforeAutospacing="0" w:after="0" w:afterAutospacing="0" w:line="240" w:lineRule="auto"/>
              <w:jc w:val="center"/>
              <w:textAlignment w:val="center"/>
              <w:rPr>
                <w:rFonts w:ascii="宋体" w:hAnsi="宋体" w:cs="宋体"/>
                <w:b/>
                <w:bCs/>
                <w:color w:val="000000"/>
              </w:rPr>
            </w:pPr>
            <w:r>
              <w:rPr>
                <w:rFonts w:hint="eastAsia" w:ascii="宋体" w:hAnsi="宋体" w:cs="宋体"/>
                <w:b/>
                <w:bCs/>
                <w:color w:val="000000"/>
                <w:kern w:val="0"/>
                <w:lang w:bidi="ar"/>
              </w:rPr>
              <w:t>配置要求及主要技术参数</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38F86">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color w:val="000000"/>
              </w:rPr>
            </w:pPr>
            <w:r>
              <w:rPr>
                <w:rFonts w:hint="eastAsia" w:ascii="宋体" w:hAnsi="宋体" w:cs="宋体"/>
                <w:b/>
                <w:bCs/>
                <w:color w:val="000000"/>
                <w:kern w:val="0"/>
                <w:lang w:bidi="ar"/>
              </w:rPr>
              <w:t>数量</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9DDD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color w:val="000000"/>
              </w:rPr>
            </w:pPr>
            <w:r>
              <w:rPr>
                <w:rFonts w:hint="eastAsia" w:ascii="宋体" w:hAnsi="宋体" w:cs="宋体"/>
                <w:b/>
                <w:bCs/>
                <w:color w:val="000000"/>
                <w:kern w:val="0"/>
                <w:lang w:bidi="ar"/>
              </w:rPr>
              <w:t>单位</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B2B1">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color w:val="000000"/>
              </w:rPr>
            </w:pPr>
            <w:r>
              <w:rPr>
                <w:rFonts w:hint="eastAsia" w:ascii="宋体" w:hAnsi="宋体" w:cs="宋体"/>
                <w:b/>
                <w:bCs/>
                <w:color w:val="000000"/>
                <w:kern w:val="0"/>
                <w:lang w:bidi="ar"/>
              </w:rPr>
              <w:t>推荐品牌</w:t>
            </w:r>
          </w:p>
        </w:tc>
      </w:tr>
      <w:tr w14:paraId="5E55102B">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84958">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1484A8">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综合灯光控制台</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16358">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综合灯光控制台（主）：</w:t>
            </w:r>
            <w:r>
              <w:rPr>
                <w:rFonts w:hint="eastAsia" w:ascii="宋体" w:hAnsi="宋体" w:cs="宋体"/>
                <w:color w:val="000000"/>
                <w:kern w:val="0"/>
                <w:lang w:bidi="ar"/>
              </w:rPr>
              <w:br w:type="textWrapping"/>
            </w:r>
            <w:r>
              <w:rPr>
                <w:rFonts w:hint="eastAsia" w:ascii="宋体" w:hAnsi="宋体" w:cs="宋体"/>
                <w:color w:val="000000"/>
                <w:kern w:val="0"/>
                <w:lang w:bidi="ar"/>
              </w:rPr>
              <w:t>1、≥ 7个DMX输出, 1个DMX输入,连接扩展器,最高可支持65536个通道参数；</w:t>
            </w:r>
            <w:r>
              <w:rPr>
                <w:rFonts w:hint="eastAsia" w:ascii="宋体" w:hAnsi="宋体" w:cs="宋体"/>
                <w:color w:val="000000"/>
                <w:kern w:val="0"/>
                <w:lang w:bidi="ar"/>
              </w:rPr>
              <w:br w:type="textWrapping"/>
            </w:r>
            <w:r>
              <w:rPr>
                <w:rFonts w:hint="eastAsia" w:ascii="宋体" w:hAnsi="宋体" w:cs="宋体"/>
                <w:color w:val="000000"/>
                <w:kern w:val="0"/>
                <w:lang w:bidi="ar"/>
              </w:rPr>
              <w:t>2、≥内置2个电动可调宽视角15.4英寸触摸屏+1个9英寸高亮度多点触摸屏；</w:t>
            </w:r>
            <w:r>
              <w:rPr>
                <w:rFonts w:hint="eastAsia" w:ascii="宋体" w:hAnsi="宋体" w:cs="宋体"/>
                <w:color w:val="000000"/>
                <w:kern w:val="0"/>
                <w:lang w:bidi="ar"/>
              </w:rPr>
              <w:br w:type="textWrapping"/>
            </w:r>
            <w:r>
              <w:rPr>
                <w:rFonts w:hint="eastAsia" w:ascii="宋体" w:hAnsi="宋体" w:cs="宋体"/>
                <w:color w:val="000000"/>
                <w:kern w:val="0"/>
                <w:lang w:bidi="ar"/>
              </w:rPr>
              <w:t>3、≥15个高精度电动推杆；</w:t>
            </w:r>
            <w:r>
              <w:rPr>
                <w:rFonts w:hint="eastAsia" w:ascii="宋体" w:hAnsi="宋体" w:cs="宋体"/>
                <w:color w:val="000000"/>
                <w:kern w:val="0"/>
                <w:lang w:bidi="ar"/>
              </w:rPr>
              <w:br w:type="textWrapping"/>
            </w:r>
            <w:r>
              <w:rPr>
                <w:rFonts w:hint="eastAsia" w:ascii="宋体" w:hAnsi="宋体" w:cs="宋体"/>
                <w:color w:val="000000"/>
                <w:kern w:val="0"/>
                <w:lang w:bidi="ar"/>
              </w:rPr>
              <w:t>4、≥2个AB场电动推杆；</w:t>
            </w:r>
            <w:r>
              <w:rPr>
                <w:rFonts w:hint="eastAsia" w:ascii="宋体" w:hAnsi="宋体" w:cs="宋体"/>
                <w:color w:val="000000"/>
                <w:kern w:val="0"/>
                <w:lang w:bidi="ar"/>
              </w:rPr>
              <w:br w:type="textWrapping"/>
            </w:r>
            <w:r>
              <w:rPr>
                <w:rFonts w:hint="eastAsia" w:ascii="宋体" w:hAnsi="宋体" w:cs="宋体"/>
                <w:color w:val="000000"/>
                <w:kern w:val="0"/>
                <w:lang w:bidi="ar"/>
              </w:rPr>
              <w:t>5、≥1个主控推杆，一个调光轮；</w:t>
            </w:r>
            <w:r>
              <w:rPr>
                <w:rFonts w:hint="eastAsia" w:ascii="宋体" w:hAnsi="宋体" w:cs="宋体"/>
                <w:color w:val="000000"/>
                <w:kern w:val="0"/>
                <w:lang w:bidi="ar"/>
              </w:rPr>
              <w:br w:type="textWrapping"/>
            </w:r>
            <w:r>
              <w:rPr>
                <w:rFonts w:hint="eastAsia" w:ascii="宋体" w:hAnsi="宋体" w:cs="宋体"/>
                <w:color w:val="000000"/>
                <w:kern w:val="0"/>
                <w:lang w:bidi="ar"/>
              </w:rPr>
              <w:t>6、≥6个编码器（带PUSH功能）；</w:t>
            </w:r>
            <w:r>
              <w:rPr>
                <w:rFonts w:hint="eastAsia" w:ascii="宋体" w:hAnsi="宋体" w:cs="宋体"/>
                <w:color w:val="000000"/>
                <w:kern w:val="0"/>
                <w:lang w:bidi="ar"/>
              </w:rPr>
              <w:br w:type="textWrapping"/>
            </w:r>
            <w:r>
              <w:rPr>
                <w:rFonts w:hint="eastAsia" w:ascii="宋体" w:hAnsi="宋体" w:cs="宋体"/>
                <w:color w:val="000000"/>
                <w:kern w:val="0"/>
                <w:lang w:bidi="ar"/>
              </w:rPr>
              <w:t>7、≥4个DMX512接口；</w:t>
            </w:r>
            <w:r>
              <w:rPr>
                <w:rFonts w:hint="eastAsia" w:ascii="宋体" w:hAnsi="宋体" w:cs="宋体"/>
                <w:color w:val="000000"/>
                <w:kern w:val="0"/>
                <w:lang w:bidi="ar"/>
              </w:rPr>
              <w:br w:type="textWrapping"/>
            </w:r>
            <w:r>
              <w:rPr>
                <w:rFonts w:hint="eastAsia" w:ascii="宋体" w:hAnsi="宋体" w:cs="宋体"/>
                <w:color w:val="000000"/>
                <w:kern w:val="0"/>
                <w:lang w:bidi="ar"/>
              </w:rPr>
              <w:t>8、包含系统控制器（CPU:I7或以上；内存:16G ，4G显存，硬盘:1T）；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C4584">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B6DC">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台</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74817">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领焰、非蓝、彩熠或同等档次及以上品牌</w:t>
            </w:r>
          </w:p>
        </w:tc>
      </w:tr>
      <w:tr w14:paraId="5C56D28F">
        <w:tblPrEx>
          <w:tblCellMar>
            <w:top w:w="0" w:type="dxa"/>
            <w:left w:w="108" w:type="dxa"/>
            <w:bottom w:w="0" w:type="dxa"/>
            <w:right w:w="108" w:type="dxa"/>
          </w:tblCellMar>
        </w:tblPrEx>
        <w:trPr>
          <w:trHeight w:val="34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D3BA">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2</w:t>
            </w: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F58D5">
            <w:pPr>
              <w:keepNext w:val="0"/>
              <w:keepLines w:val="0"/>
              <w:pageBreakBefore w:val="0"/>
              <w:kinsoku/>
              <w:overflowPunct/>
              <w:topLinePunct w:val="0"/>
              <w:bidi w:val="0"/>
              <w:spacing w:beforeAutospacing="0" w:after="0" w:afterAutospacing="0"/>
              <w:jc w:val="center"/>
              <w:rPr>
                <w:rFonts w:ascii="宋体" w:hAnsi="宋体" w:cs="宋体"/>
                <w:color w:val="000000"/>
              </w:rPr>
            </w:pP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6DD2">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综合灯光控制台（备）：</w:t>
            </w:r>
            <w:r>
              <w:rPr>
                <w:rFonts w:hint="eastAsia" w:ascii="宋体" w:hAnsi="宋体" w:cs="宋体"/>
                <w:color w:val="000000"/>
                <w:kern w:val="0"/>
                <w:lang w:bidi="ar"/>
              </w:rPr>
              <w:br w:type="textWrapping"/>
            </w:r>
            <w:r>
              <w:rPr>
                <w:rFonts w:hint="eastAsia" w:ascii="宋体" w:hAnsi="宋体" w:cs="宋体"/>
                <w:color w:val="000000"/>
                <w:kern w:val="0"/>
                <w:lang w:bidi="ar"/>
              </w:rPr>
              <w:t>1、≥ 7个DMX输出, 1个DMX输入,连接扩展器,最高可支持65536个通道参数；</w:t>
            </w:r>
            <w:r>
              <w:rPr>
                <w:rFonts w:hint="eastAsia" w:ascii="宋体" w:hAnsi="宋体" w:cs="宋体"/>
                <w:color w:val="000000"/>
                <w:kern w:val="0"/>
                <w:lang w:bidi="ar"/>
              </w:rPr>
              <w:br w:type="textWrapping"/>
            </w:r>
            <w:r>
              <w:rPr>
                <w:rFonts w:hint="eastAsia" w:ascii="宋体" w:hAnsi="宋体" w:cs="宋体"/>
                <w:color w:val="000000"/>
                <w:kern w:val="0"/>
                <w:lang w:bidi="ar"/>
              </w:rPr>
              <w:t>2、≥内置2个电动可调宽视角15.4英寸触摸屏+1个9英寸高亮度多点触摸屏；</w:t>
            </w:r>
            <w:r>
              <w:rPr>
                <w:rFonts w:hint="eastAsia" w:ascii="宋体" w:hAnsi="宋体" w:cs="宋体"/>
                <w:color w:val="000000"/>
                <w:kern w:val="0"/>
                <w:lang w:bidi="ar"/>
              </w:rPr>
              <w:br w:type="textWrapping"/>
            </w:r>
            <w:r>
              <w:rPr>
                <w:rFonts w:hint="eastAsia" w:ascii="宋体" w:hAnsi="宋体" w:cs="宋体"/>
                <w:color w:val="000000"/>
                <w:kern w:val="0"/>
                <w:lang w:bidi="ar"/>
              </w:rPr>
              <w:t>3、≥15个高精度电动推杆；</w:t>
            </w:r>
            <w:r>
              <w:rPr>
                <w:rFonts w:hint="eastAsia" w:ascii="宋体" w:hAnsi="宋体" w:cs="宋体"/>
                <w:color w:val="000000"/>
                <w:kern w:val="0"/>
                <w:lang w:bidi="ar"/>
              </w:rPr>
              <w:br w:type="textWrapping"/>
            </w:r>
            <w:r>
              <w:rPr>
                <w:rFonts w:hint="eastAsia" w:ascii="宋体" w:hAnsi="宋体" w:cs="宋体"/>
                <w:color w:val="000000"/>
                <w:kern w:val="0"/>
                <w:lang w:bidi="ar"/>
              </w:rPr>
              <w:t>4、≥2个AB场电动推杆；</w:t>
            </w:r>
            <w:r>
              <w:rPr>
                <w:rFonts w:hint="eastAsia" w:ascii="宋体" w:hAnsi="宋体" w:cs="宋体"/>
                <w:color w:val="000000"/>
                <w:kern w:val="0"/>
                <w:lang w:bidi="ar"/>
              </w:rPr>
              <w:br w:type="textWrapping"/>
            </w:r>
            <w:r>
              <w:rPr>
                <w:rFonts w:hint="eastAsia" w:ascii="宋体" w:hAnsi="宋体" w:cs="宋体"/>
                <w:color w:val="000000"/>
                <w:kern w:val="0"/>
                <w:lang w:bidi="ar"/>
              </w:rPr>
              <w:t>5、≥1个主控推杆，一个调光轮；</w:t>
            </w:r>
            <w:r>
              <w:rPr>
                <w:rFonts w:hint="eastAsia" w:ascii="宋体" w:hAnsi="宋体" w:cs="宋体"/>
                <w:color w:val="000000"/>
                <w:kern w:val="0"/>
                <w:lang w:bidi="ar"/>
              </w:rPr>
              <w:br w:type="textWrapping"/>
            </w:r>
            <w:r>
              <w:rPr>
                <w:rFonts w:hint="eastAsia" w:ascii="宋体" w:hAnsi="宋体" w:cs="宋体"/>
                <w:color w:val="000000"/>
                <w:kern w:val="0"/>
                <w:lang w:bidi="ar"/>
              </w:rPr>
              <w:t>6、≥6个编码器（带PUSH功能）；</w:t>
            </w:r>
            <w:r>
              <w:rPr>
                <w:rFonts w:hint="eastAsia" w:ascii="宋体" w:hAnsi="宋体" w:cs="宋体"/>
                <w:color w:val="000000"/>
                <w:kern w:val="0"/>
                <w:lang w:bidi="ar"/>
              </w:rPr>
              <w:br w:type="textWrapping"/>
            </w:r>
            <w:r>
              <w:rPr>
                <w:rFonts w:hint="eastAsia" w:ascii="宋体" w:hAnsi="宋体" w:cs="宋体"/>
                <w:color w:val="000000"/>
                <w:kern w:val="0"/>
                <w:lang w:bidi="ar"/>
              </w:rPr>
              <w:t>7、≥4个DMX512接口；</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61491">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D536">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台</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738C1">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领焰、非蓝、彩熠或同等档次及以上品牌</w:t>
            </w:r>
          </w:p>
        </w:tc>
      </w:tr>
      <w:tr w14:paraId="666F6F89">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9CE4D">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3</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99DF6">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信号处理柜</w:t>
            </w:r>
            <w:r>
              <w:rPr>
                <w:rFonts w:hint="eastAsia" w:ascii="宋体" w:hAnsi="宋体" w:cs="宋体"/>
                <w:color w:val="000000"/>
                <w:kern w:val="0"/>
                <w:sz w:val="22"/>
                <w:szCs w:val="22"/>
                <w:lang w:bidi="ar"/>
              </w:rPr>
              <w:t>（灯光控制室）</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32D9">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1、1台24口网络千兆交换机(含光模块)，支持POE供电模式，POE供电；</w:t>
            </w:r>
            <w:r>
              <w:rPr>
                <w:rFonts w:hint="eastAsia" w:ascii="宋体" w:hAnsi="宋体" w:cs="宋体"/>
                <w:color w:val="000000"/>
                <w:kern w:val="0"/>
                <w:lang w:bidi="ar"/>
              </w:rPr>
              <w:br w:type="textWrapping"/>
            </w:r>
            <w:r>
              <w:rPr>
                <w:rFonts w:hint="eastAsia" w:ascii="宋体" w:hAnsi="宋体" w:cs="宋体"/>
                <w:color w:val="000000"/>
                <w:kern w:val="0"/>
                <w:lang w:bidi="ar"/>
              </w:rPr>
              <w:t>2、1套24口网络配线架；</w:t>
            </w:r>
            <w:r>
              <w:rPr>
                <w:rFonts w:hint="eastAsia" w:ascii="宋体" w:hAnsi="宋体" w:cs="宋体"/>
                <w:color w:val="000000"/>
                <w:kern w:val="0"/>
                <w:lang w:bidi="ar"/>
              </w:rPr>
              <w:br w:type="textWrapping"/>
            </w:r>
            <w:r>
              <w:rPr>
                <w:rFonts w:hint="eastAsia" w:ascii="宋体" w:hAnsi="宋体" w:cs="宋体"/>
                <w:color w:val="000000"/>
                <w:kern w:val="0"/>
                <w:lang w:bidi="ar"/>
              </w:rPr>
              <w:t>3、1套Ethernet/DMX 转换器，不少于1个Ethernet口、4个DMX口，2048通道；</w:t>
            </w:r>
            <w:r>
              <w:rPr>
                <w:rFonts w:hint="eastAsia" w:ascii="宋体" w:hAnsi="宋体" w:cs="宋体"/>
                <w:color w:val="000000"/>
                <w:kern w:val="0"/>
                <w:lang w:bidi="ar"/>
              </w:rPr>
              <w:br w:type="textWrapping"/>
            </w:r>
            <w:r>
              <w:rPr>
                <w:rFonts w:hint="eastAsia" w:ascii="宋体" w:hAnsi="宋体" w:cs="宋体"/>
                <w:color w:val="000000"/>
                <w:kern w:val="0"/>
                <w:lang w:bidi="ar"/>
              </w:rPr>
              <w:t>4、4台DMX信号放大器，每台不少于一进八出，信号光电隔离保护；</w:t>
            </w:r>
            <w:r>
              <w:rPr>
                <w:rFonts w:hint="eastAsia" w:ascii="宋体" w:hAnsi="宋体" w:cs="宋体"/>
                <w:color w:val="000000"/>
                <w:kern w:val="0"/>
                <w:lang w:bidi="ar"/>
              </w:rPr>
              <w:br w:type="textWrapping"/>
            </w:r>
            <w:r>
              <w:rPr>
                <w:rFonts w:hint="eastAsia" w:ascii="宋体" w:hAnsi="宋体" w:cs="宋体"/>
                <w:color w:val="000000"/>
                <w:kern w:val="0"/>
                <w:lang w:bidi="ar"/>
              </w:rPr>
              <w:t>5、4套DMX信号跳线盘，每套不少于8路；</w:t>
            </w:r>
            <w:r>
              <w:rPr>
                <w:rFonts w:hint="eastAsia" w:ascii="宋体" w:hAnsi="宋体" w:cs="宋体"/>
                <w:color w:val="000000"/>
                <w:kern w:val="0"/>
                <w:lang w:bidi="ar"/>
              </w:rPr>
              <w:br w:type="textWrapping"/>
            </w:r>
            <w:r>
              <w:rPr>
                <w:rFonts w:hint="eastAsia" w:ascii="宋体" w:hAnsi="宋体" w:cs="宋体"/>
                <w:color w:val="000000"/>
                <w:kern w:val="0"/>
                <w:lang w:bidi="ar"/>
              </w:rPr>
              <w:t>6、1套电源，不小于3kVA，后备时间不小于15分钟，机架式主机及电池等配件；</w:t>
            </w:r>
            <w:r>
              <w:rPr>
                <w:rFonts w:hint="eastAsia" w:ascii="宋体" w:hAnsi="宋体" w:cs="宋体"/>
                <w:color w:val="000000"/>
                <w:kern w:val="0"/>
                <w:lang w:bidi="ar"/>
              </w:rPr>
              <w:br w:type="textWrapping"/>
            </w:r>
            <w:r>
              <w:rPr>
                <w:rFonts w:hint="eastAsia" w:ascii="宋体" w:hAnsi="宋体" w:cs="宋体"/>
                <w:color w:val="000000"/>
                <w:kern w:val="0"/>
                <w:lang w:bidi="ar"/>
              </w:rPr>
              <w:t>7、1台机柜，600*800*2000,含机柜配件</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16480">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D649">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台</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29003">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highlight w:val="cyan"/>
              </w:rPr>
            </w:pPr>
            <w:r>
              <w:rPr>
                <w:rFonts w:hint="eastAsia" w:ascii="宋体" w:hAnsi="宋体" w:cs="宋体"/>
                <w:color w:val="000000"/>
                <w:highlight w:val="none"/>
              </w:rPr>
              <w:t>国产</w:t>
            </w:r>
            <w:r>
              <w:rPr>
                <w:rFonts w:hint="eastAsia" w:ascii="宋体" w:hAnsi="宋体" w:cs="宋体"/>
                <w:color w:val="000000"/>
                <w:kern w:val="0"/>
                <w:highlight w:val="none"/>
                <w:lang w:bidi="ar"/>
              </w:rPr>
              <w:t>优质</w:t>
            </w:r>
          </w:p>
        </w:tc>
      </w:tr>
      <w:tr w14:paraId="3EEAFC2D">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3642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4</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5B507">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信号处理柜</w:t>
            </w:r>
            <w:r>
              <w:rPr>
                <w:rFonts w:hint="eastAsia" w:ascii="宋体" w:hAnsi="宋体" w:cs="宋体"/>
                <w:color w:val="000000"/>
                <w:kern w:val="0"/>
                <w:sz w:val="22"/>
                <w:szCs w:val="22"/>
                <w:lang w:bidi="ar"/>
              </w:rPr>
              <w:t>（栅顶）</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BE58E">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1、1台24口网络千兆交换机(含光模块)，支持POE供电模式，POE供电；</w:t>
            </w:r>
            <w:r>
              <w:rPr>
                <w:rFonts w:hint="eastAsia" w:ascii="宋体" w:hAnsi="宋体" w:cs="宋体"/>
                <w:color w:val="000000"/>
                <w:kern w:val="0"/>
                <w:lang w:bidi="ar"/>
              </w:rPr>
              <w:br w:type="textWrapping"/>
            </w:r>
            <w:r>
              <w:rPr>
                <w:rFonts w:hint="eastAsia" w:ascii="宋体" w:hAnsi="宋体" w:cs="宋体"/>
                <w:color w:val="000000"/>
                <w:kern w:val="0"/>
                <w:lang w:bidi="ar"/>
              </w:rPr>
              <w:t>2、1套24口网络配线架；</w:t>
            </w:r>
            <w:r>
              <w:rPr>
                <w:rFonts w:hint="eastAsia" w:ascii="宋体" w:hAnsi="宋体" w:cs="宋体"/>
                <w:color w:val="000000"/>
                <w:kern w:val="0"/>
                <w:lang w:bidi="ar"/>
              </w:rPr>
              <w:br w:type="textWrapping"/>
            </w:r>
            <w:r>
              <w:rPr>
                <w:rFonts w:hint="eastAsia" w:ascii="宋体" w:hAnsi="宋体" w:cs="宋体"/>
                <w:color w:val="000000"/>
                <w:kern w:val="0"/>
                <w:lang w:bidi="ar"/>
              </w:rPr>
              <w:t>3、1套Ethernet/DMX 转换器，不少于1个Ethernet口、4个DMX口，2048通道；</w:t>
            </w:r>
            <w:r>
              <w:rPr>
                <w:rFonts w:hint="eastAsia" w:ascii="宋体" w:hAnsi="宋体" w:cs="宋体"/>
                <w:color w:val="000000"/>
                <w:kern w:val="0"/>
                <w:lang w:bidi="ar"/>
              </w:rPr>
              <w:br w:type="textWrapping"/>
            </w:r>
            <w:r>
              <w:rPr>
                <w:rFonts w:hint="eastAsia" w:ascii="宋体" w:hAnsi="宋体" w:cs="宋体"/>
                <w:color w:val="000000"/>
                <w:kern w:val="0"/>
                <w:lang w:bidi="ar"/>
              </w:rPr>
              <w:t>4、5台DMX信号放大器，每台不少于一进八出，信号光电隔离保护；</w:t>
            </w:r>
            <w:r>
              <w:rPr>
                <w:rFonts w:hint="eastAsia" w:ascii="宋体" w:hAnsi="宋体" w:cs="宋体"/>
                <w:color w:val="000000"/>
                <w:kern w:val="0"/>
                <w:lang w:bidi="ar"/>
              </w:rPr>
              <w:br w:type="textWrapping"/>
            </w:r>
            <w:r>
              <w:rPr>
                <w:rFonts w:hint="eastAsia" w:ascii="宋体" w:hAnsi="宋体" w:cs="宋体"/>
                <w:color w:val="000000"/>
                <w:kern w:val="0"/>
                <w:lang w:bidi="ar"/>
              </w:rPr>
              <w:t>5、5套DMX信号跳线盘，每套不少于8路；</w:t>
            </w:r>
            <w:r>
              <w:rPr>
                <w:rFonts w:hint="eastAsia" w:ascii="宋体" w:hAnsi="宋体" w:cs="宋体"/>
                <w:color w:val="000000"/>
                <w:kern w:val="0"/>
                <w:lang w:bidi="ar"/>
              </w:rPr>
              <w:br w:type="textWrapping"/>
            </w:r>
            <w:r>
              <w:rPr>
                <w:rFonts w:hint="eastAsia" w:ascii="宋体" w:hAnsi="宋体" w:cs="宋体"/>
                <w:color w:val="000000"/>
                <w:kern w:val="0"/>
                <w:lang w:bidi="ar"/>
              </w:rPr>
              <w:t>6、1套电源，不小于3kVA，后备时间不小于15分钟，机架式主机及电池等配件；</w:t>
            </w:r>
            <w:r>
              <w:rPr>
                <w:rFonts w:hint="eastAsia" w:ascii="宋体" w:hAnsi="宋体" w:cs="宋体"/>
                <w:color w:val="000000"/>
                <w:kern w:val="0"/>
                <w:lang w:bidi="ar"/>
              </w:rPr>
              <w:br w:type="textWrapping"/>
            </w:r>
            <w:r>
              <w:rPr>
                <w:rFonts w:hint="eastAsia" w:ascii="宋体" w:hAnsi="宋体" w:cs="宋体"/>
                <w:color w:val="000000"/>
                <w:kern w:val="0"/>
                <w:lang w:bidi="ar"/>
              </w:rPr>
              <w:t>7、1台机柜，600*800*2000,含机柜配件</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50469">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5BC5">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台</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9B03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highlight w:val="none"/>
              </w:rPr>
            </w:pPr>
            <w:r>
              <w:rPr>
                <w:rFonts w:hint="eastAsia" w:ascii="宋体" w:hAnsi="宋体" w:cs="宋体"/>
                <w:color w:val="000000"/>
                <w:highlight w:val="none"/>
              </w:rPr>
              <w:t>国产</w:t>
            </w:r>
            <w:r>
              <w:rPr>
                <w:rFonts w:hint="eastAsia" w:ascii="宋体" w:hAnsi="宋体" w:cs="宋体"/>
                <w:color w:val="000000"/>
                <w:kern w:val="0"/>
                <w:highlight w:val="none"/>
                <w:lang w:bidi="ar"/>
              </w:rPr>
              <w:t>优质</w:t>
            </w:r>
          </w:p>
        </w:tc>
      </w:tr>
      <w:tr w14:paraId="571D6FF4">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CE919">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5</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F4886">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信号处理柜</w:t>
            </w:r>
            <w:r>
              <w:rPr>
                <w:rFonts w:hint="eastAsia" w:ascii="宋体" w:hAnsi="宋体" w:cs="宋体"/>
                <w:color w:val="000000"/>
                <w:kern w:val="0"/>
                <w:sz w:val="22"/>
                <w:szCs w:val="22"/>
                <w:lang w:bidi="ar"/>
              </w:rPr>
              <w:t>（调光柜室）</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5727">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1、2台24口网络千兆交换机(含光模块)，支持POE供电模式，POE供电；</w:t>
            </w:r>
            <w:r>
              <w:rPr>
                <w:rFonts w:hint="eastAsia" w:ascii="宋体" w:hAnsi="宋体" w:cs="宋体"/>
                <w:color w:val="000000"/>
                <w:kern w:val="0"/>
                <w:lang w:bidi="ar"/>
              </w:rPr>
              <w:br w:type="textWrapping"/>
            </w:r>
            <w:r>
              <w:rPr>
                <w:rFonts w:hint="eastAsia" w:ascii="宋体" w:hAnsi="宋体" w:cs="宋体"/>
                <w:color w:val="000000"/>
                <w:kern w:val="0"/>
                <w:lang w:bidi="ar"/>
              </w:rPr>
              <w:t>2、2套24口网络配线架；</w:t>
            </w:r>
            <w:r>
              <w:rPr>
                <w:rFonts w:hint="eastAsia" w:ascii="宋体" w:hAnsi="宋体" w:cs="宋体"/>
                <w:color w:val="000000"/>
                <w:kern w:val="0"/>
                <w:lang w:bidi="ar"/>
              </w:rPr>
              <w:br w:type="textWrapping"/>
            </w:r>
            <w:r>
              <w:rPr>
                <w:rFonts w:hint="eastAsia" w:ascii="宋体" w:hAnsi="宋体" w:cs="宋体"/>
                <w:color w:val="000000"/>
                <w:kern w:val="0"/>
                <w:lang w:bidi="ar"/>
              </w:rPr>
              <w:t>3、1套Ethernet/DMX 转换器，不少于1个Ethernet口、8个DMX口，4096通道；</w:t>
            </w:r>
            <w:r>
              <w:rPr>
                <w:rFonts w:hint="eastAsia" w:ascii="宋体" w:hAnsi="宋体" w:cs="宋体"/>
                <w:color w:val="000000"/>
                <w:kern w:val="0"/>
                <w:lang w:bidi="ar"/>
              </w:rPr>
              <w:br w:type="textWrapping"/>
            </w:r>
            <w:r>
              <w:rPr>
                <w:rFonts w:hint="eastAsia" w:ascii="宋体" w:hAnsi="宋体" w:cs="宋体"/>
                <w:color w:val="000000"/>
                <w:kern w:val="0"/>
                <w:lang w:bidi="ar"/>
              </w:rPr>
              <w:t>4、7台DMX信号放大器，每台不少于一进八出，信号光电隔离保护；</w:t>
            </w:r>
            <w:r>
              <w:rPr>
                <w:rFonts w:hint="eastAsia" w:ascii="宋体" w:hAnsi="宋体" w:cs="宋体"/>
                <w:color w:val="000000"/>
                <w:kern w:val="0"/>
                <w:lang w:bidi="ar"/>
              </w:rPr>
              <w:br w:type="textWrapping"/>
            </w:r>
            <w:r>
              <w:rPr>
                <w:rFonts w:hint="eastAsia" w:ascii="宋体" w:hAnsi="宋体" w:cs="宋体"/>
                <w:color w:val="000000"/>
                <w:kern w:val="0"/>
                <w:lang w:bidi="ar"/>
              </w:rPr>
              <w:t>5、7套DMX信号跳线盘，每套不少于8路；</w:t>
            </w:r>
            <w:r>
              <w:rPr>
                <w:rFonts w:hint="eastAsia" w:ascii="宋体" w:hAnsi="宋体" w:cs="宋体"/>
                <w:color w:val="000000"/>
                <w:kern w:val="0"/>
                <w:lang w:bidi="ar"/>
              </w:rPr>
              <w:br w:type="textWrapping"/>
            </w:r>
            <w:r>
              <w:rPr>
                <w:rFonts w:hint="eastAsia" w:ascii="宋体" w:hAnsi="宋体" w:cs="宋体"/>
                <w:color w:val="000000"/>
                <w:kern w:val="0"/>
                <w:lang w:bidi="ar"/>
              </w:rPr>
              <w:t>6、1套电源，不小于3kVA，后备时间不小于15分钟，机架式主机及电池等配件；</w:t>
            </w:r>
            <w:r>
              <w:rPr>
                <w:rFonts w:hint="eastAsia" w:ascii="宋体" w:hAnsi="宋体" w:cs="宋体"/>
                <w:color w:val="000000"/>
                <w:kern w:val="0"/>
                <w:lang w:bidi="ar"/>
              </w:rPr>
              <w:br w:type="textWrapping"/>
            </w:r>
            <w:r>
              <w:rPr>
                <w:rFonts w:hint="eastAsia" w:ascii="宋体" w:hAnsi="宋体" w:cs="宋体"/>
                <w:color w:val="000000"/>
                <w:kern w:val="0"/>
                <w:lang w:bidi="ar"/>
              </w:rPr>
              <w:t>7、1台机柜，600*800*2000,含机柜配件</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5DFE">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8F43">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台</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76D73">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highlight w:val="none"/>
              </w:rPr>
            </w:pPr>
            <w:r>
              <w:rPr>
                <w:rFonts w:hint="eastAsia" w:ascii="宋体" w:hAnsi="宋体" w:cs="宋体"/>
                <w:color w:val="000000"/>
                <w:highlight w:val="none"/>
              </w:rPr>
              <w:t>国产</w:t>
            </w:r>
            <w:r>
              <w:rPr>
                <w:rFonts w:hint="eastAsia" w:ascii="宋体" w:hAnsi="宋体" w:cs="宋体"/>
                <w:color w:val="000000"/>
                <w:kern w:val="0"/>
                <w:highlight w:val="none"/>
                <w:lang w:bidi="ar"/>
              </w:rPr>
              <w:t>优质</w:t>
            </w:r>
          </w:p>
        </w:tc>
      </w:tr>
      <w:tr w14:paraId="121FA188">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5EC0B">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6</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A9617">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智能调光柜</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E212C">
            <w:pPr>
              <w:keepNext w:val="0"/>
              <w:keepLines w:val="0"/>
              <w:pageBreakBefore w:val="0"/>
              <w:widowControl/>
              <w:kinsoku/>
              <w:wordWrap/>
              <w:overflowPunct/>
              <w:topLinePunct w:val="0"/>
              <w:autoSpaceDE/>
              <w:autoSpaceDN/>
              <w:bidi w:val="0"/>
              <w:adjustRightInd/>
              <w:snapToGrid/>
              <w:spacing w:beforeAutospacing="0" w:after="0" w:afterAutospacing="0" w:line="12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1、96路网络调光继电器直通混合柜；</w:t>
            </w:r>
          </w:p>
          <w:p w14:paraId="0444423E">
            <w:pPr>
              <w:keepNext w:val="0"/>
              <w:keepLines w:val="0"/>
              <w:pageBreakBefore w:val="0"/>
              <w:widowControl/>
              <w:kinsoku/>
              <w:wordWrap/>
              <w:overflowPunct/>
              <w:topLinePunct w:val="0"/>
              <w:autoSpaceDE/>
              <w:autoSpaceDN/>
              <w:bidi w:val="0"/>
              <w:adjustRightInd/>
              <w:snapToGrid/>
              <w:spacing w:beforeAutospacing="0" w:after="0" w:afterAutospacing="0" w:line="12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2、符合国家GB/T 13582-1992 、GB/T14218-2018、GB/T 17743-2017、GB/T 7251.12-2013质量检测标准；</w:t>
            </w:r>
          </w:p>
          <w:p w14:paraId="7B46FD33">
            <w:pPr>
              <w:keepNext w:val="0"/>
              <w:keepLines w:val="0"/>
              <w:pageBreakBefore w:val="0"/>
              <w:widowControl/>
              <w:kinsoku/>
              <w:wordWrap/>
              <w:overflowPunct/>
              <w:topLinePunct w:val="0"/>
              <w:autoSpaceDE/>
              <w:autoSpaceDN/>
              <w:bidi w:val="0"/>
              <w:adjustRightInd/>
              <w:snapToGrid/>
              <w:spacing w:beforeAutospacing="0" w:after="0" w:afterAutospacing="0" w:line="12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3、采用双系统、双解码、双触发、双工双备份中央解码处理器，主、副系统互为备份、无缝智能切换；</w:t>
            </w:r>
          </w:p>
          <w:p w14:paraId="13B3DA22">
            <w:pPr>
              <w:keepNext w:val="0"/>
              <w:keepLines w:val="0"/>
              <w:pageBreakBefore w:val="0"/>
              <w:widowControl/>
              <w:kinsoku/>
              <w:wordWrap/>
              <w:overflowPunct/>
              <w:topLinePunct w:val="0"/>
              <w:autoSpaceDE/>
              <w:autoSpaceDN/>
              <w:bidi w:val="0"/>
              <w:adjustRightInd/>
              <w:snapToGrid/>
              <w:spacing w:beforeAutospacing="0" w:after="0" w:afterAutospacing="0" w:line="12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4、柜身自带液晶显示器</w:t>
            </w:r>
          </w:p>
          <w:p w14:paraId="75B374AF">
            <w:pPr>
              <w:keepNext w:val="0"/>
              <w:keepLines w:val="0"/>
              <w:pageBreakBefore w:val="0"/>
              <w:widowControl/>
              <w:kinsoku/>
              <w:wordWrap/>
              <w:overflowPunct/>
              <w:topLinePunct w:val="0"/>
              <w:autoSpaceDE/>
              <w:autoSpaceDN/>
              <w:bidi w:val="0"/>
              <w:adjustRightInd/>
              <w:snapToGrid/>
              <w:spacing w:beforeAutospacing="0" w:after="0" w:afterAutospacing="0" w:line="12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5、可配备光纤网络接口，可兼容sACN、Art-Net、TCP/IP、RDM、DMX512协议；可接收双路DMX512信号输入，并带人工智能指示信号状态，能识别信号线正、负接反；</w:t>
            </w:r>
          </w:p>
          <w:p w14:paraId="2E61DB01">
            <w:pPr>
              <w:keepNext w:val="0"/>
              <w:keepLines w:val="0"/>
              <w:pageBreakBefore w:val="0"/>
              <w:widowControl/>
              <w:kinsoku/>
              <w:wordWrap/>
              <w:overflowPunct/>
              <w:topLinePunct w:val="0"/>
              <w:autoSpaceDE/>
              <w:autoSpaceDN/>
              <w:bidi w:val="0"/>
              <w:adjustRightInd/>
              <w:snapToGrid/>
              <w:spacing w:beforeAutospacing="0" w:after="0" w:afterAutospacing="0" w:line="12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6、调光、开关、直通触发(继电器)三种功能模块,每路同时具备调光和继电器直通功能；具有紧急备份急救场功能； 配96个控制抽屉模块。</w:t>
            </w:r>
          </w:p>
          <w:p w14:paraId="32DA6F7A">
            <w:pPr>
              <w:keepNext w:val="0"/>
              <w:keepLines w:val="0"/>
              <w:pageBreakBefore w:val="0"/>
              <w:widowControl/>
              <w:kinsoku/>
              <w:wordWrap/>
              <w:overflowPunct/>
              <w:topLinePunct w:val="0"/>
              <w:autoSpaceDE/>
              <w:autoSpaceDN/>
              <w:bidi w:val="0"/>
              <w:adjustRightInd/>
              <w:snapToGrid/>
              <w:spacing w:beforeAutospacing="0" w:after="0" w:afterAutospacing="0" w:line="12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7、具有电流电压、过流和过压指示；</w:t>
            </w:r>
          </w:p>
          <w:p w14:paraId="203D31AB">
            <w:pPr>
              <w:keepNext w:val="0"/>
              <w:keepLines w:val="0"/>
              <w:pageBreakBefore w:val="0"/>
              <w:widowControl/>
              <w:kinsoku/>
              <w:wordWrap/>
              <w:overflowPunct/>
              <w:topLinePunct w:val="0"/>
              <w:autoSpaceDE/>
              <w:autoSpaceDN/>
              <w:bidi w:val="0"/>
              <w:adjustRightInd/>
              <w:snapToGrid/>
              <w:spacing w:beforeAutospacing="0" w:after="0" w:afterAutospacing="0" w:line="12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8、采用ST高品质双向可控硅及高效的信号光耦隔离放大器，可避免高电压串入控制系统，</w:t>
            </w:r>
          </w:p>
          <w:p w14:paraId="2A54B548">
            <w:pPr>
              <w:keepNext w:val="0"/>
              <w:keepLines w:val="0"/>
              <w:pageBreakBefore w:val="0"/>
              <w:widowControl/>
              <w:kinsoku/>
              <w:wordWrap/>
              <w:overflowPunct/>
              <w:topLinePunct w:val="0"/>
              <w:autoSpaceDE/>
              <w:autoSpaceDN/>
              <w:bidi w:val="0"/>
              <w:adjustRightInd/>
              <w:snapToGrid/>
              <w:spacing w:beforeAutospacing="0" w:after="0" w:afterAutospacing="0" w:line="12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9、采用高品质工业级继电器，直接的DC触发控制，抗瞬间电流高达150A；</w:t>
            </w:r>
          </w:p>
          <w:p w14:paraId="02205050">
            <w:pPr>
              <w:keepNext w:val="0"/>
              <w:keepLines w:val="0"/>
              <w:pageBreakBefore w:val="0"/>
              <w:widowControl/>
              <w:kinsoku/>
              <w:wordWrap/>
              <w:overflowPunct/>
              <w:topLinePunct w:val="0"/>
              <w:autoSpaceDE/>
              <w:autoSpaceDN/>
              <w:bidi w:val="0"/>
              <w:adjustRightInd/>
              <w:snapToGrid/>
              <w:spacing w:beforeAutospacing="0" w:after="0" w:afterAutospacing="0" w:line="120" w:lineRule="auto"/>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10、三种抽屉单元选择：可控硅、继电器、可控硅与继电器混合，兼容于同一台调光柜同时工作，互不干涉；</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8FD5">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3</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8E613">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台</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995C9">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FDL、RGB、SUB或同等档次及以上品牌</w:t>
            </w:r>
          </w:p>
        </w:tc>
      </w:tr>
      <w:tr w14:paraId="69044D44">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FCD25">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kern w:val="0"/>
                <w:lang w:bidi="ar"/>
              </w:rPr>
            </w:pPr>
            <w:r>
              <w:rPr>
                <w:rFonts w:hint="eastAsia" w:ascii="宋体" w:hAnsi="宋体" w:cs="宋体"/>
                <w:color w:val="000000"/>
                <w:kern w:val="0"/>
                <w:lang w:bidi="ar"/>
              </w:rPr>
              <w:t>7</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9E69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kern w:val="0"/>
                <w:lang w:bidi="ar"/>
              </w:rPr>
            </w:pPr>
            <w:r>
              <w:rPr>
                <w:rFonts w:hint="eastAsia" w:ascii="宋体" w:hAnsi="宋体" w:cs="宋体"/>
                <w:color w:val="000000"/>
                <w:kern w:val="0"/>
                <w:sz w:val="22"/>
                <w:szCs w:val="22"/>
                <w:lang w:bidi="ar"/>
              </w:rPr>
              <w:t>调光/直通模块</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CCB32">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lang w:bidi="ar"/>
              </w:rPr>
            </w:pPr>
            <w:r>
              <w:rPr>
                <w:rFonts w:hint="eastAsia" w:ascii="宋体" w:hAnsi="宋体" w:cs="宋体"/>
                <w:color w:val="000000"/>
                <w:kern w:val="0"/>
                <w:sz w:val="22"/>
                <w:szCs w:val="22"/>
                <w:lang w:bidi="ar"/>
              </w:rPr>
              <w:t>不小于4KW，一路一抽屉；</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17AD7">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kern w:val="0"/>
                <w:lang w:bidi="ar"/>
              </w:rPr>
            </w:pPr>
            <w:r>
              <w:rPr>
                <w:rFonts w:hint="eastAsia" w:ascii="宋体" w:hAnsi="宋体" w:cs="宋体"/>
                <w:color w:val="000000"/>
                <w:kern w:val="0"/>
                <w:lang w:bidi="ar"/>
              </w:rPr>
              <w:t>288</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ACD4B">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kern w:val="0"/>
                <w:lang w:bidi="ar"/>
              </w:rPr>
            </w:pPr>
            <w:r>
              <w:rPr>
                <w:rFonts w:hint="eastAsia" w:ascii="宋体" w:hAnsi="宋体" w:cs="宋体"/>
                <w:color w:val="000000"/>
                <w:kern w:val="0"/>
                <w:lang w:bidi="ar"/>
              </w:rPr>
              <w:t>个</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A919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kern w:val="0"/>
                <w:lang w:bidi="ar"/>
              </w:rPr>
            </w:pPr>
            <w:r>
              <w:rPr>
                <w:rFonts w:hint="eastAsia" w:ascii="宋体" w:hAnsi="宋体" w:cs="宋体"/>
                <w:color w:val="000000"/>
                <w:kern w:val="0"/>
                <w:lang w:bidi="ar"/>
              </w:rPr>
              <w:t>FDL、RGB、SUB或同等档次及以上品牌</w:t>
            </w:r>
          </w:p>
        </w:tc>
      </w:tr>
      <w:tr w14:paraId="0501B3C1">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E70BC">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rPr>
              <w:t>8</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AEFE9">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剧场智能控制系统</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3AAD">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1、支持远程智能化控制，可根据机械、灯光、音视频、LED大屏等系统设备进行控制；</w:t>
            </w:r>
            <w:r>
              <w:rPr>
                <w:rFonts w:hint="eastAsia" w:ascii="宋体" w:hAnsi="宋体" w:cs="宋体"/>
                <w:color w:val="000000"/>
                <w:kern w:val="0"/>
                <w:lang w:bidi="ar"/>
              </w:rPr>
              <w:br w:type="textWrapping"/>
            </w:r>
            <w:r>
              <w:rPr>
                <w:rFonts w:hint="eastAsia" w:ascii="宋体" w:hAnsi="宋体" w:cs="宋体"/>
                <w:color w:val="000000"/>
                <w:kern w:val="0"/>
                <w:lang w:bidi="ar"/>
              </w:rPr>
              <w:t>2、可独立控制会议灯系统，设置一键远程开启或关闭模式；</w:t>
            </w:r>
            <w:r>
              <w:rPr>
                <w:rFonts w:hint="eastAsia" w:ascii="宋体" w:hAnsi="宋体" w:cs="宋体"/>
                <w:color w:val="000000"/>
                <w:kern w:val="0"/>
                <w:lang w:bidi="ar"/>
              </w:rPr>
              <w:br w:type="textWrapping"/>
            </w:r>
            <w:r>
              <w:rPr>
                <w:rFonts w:hint="eastAsia" w:ascii="宋体" w:hAnsi="宋体" w:cs="宋体"/>
                <w:color w:val="000000"/>
                <w:kern w:val="0"/>
                <w:lang w:bidi="ar"/>
              </w:rPr>
              <w:t>3、包含1套7寸界面式控制面板（安装在控制室），便于管理人员操作使用；</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CCD9B">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33B3">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套</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484C">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国产优质</w:t>
            </w:r>
          </w:p>
        </w:tc>
      </w:tr>
      <w:tr w14:paraId="5B7DDFAF">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225B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rPr>
              <w:t>9</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EC31E">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10° LED成像灯</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726A2">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 xml:space="preserve">功率：不少于300W </w:t>
            </w:r>
            <w:r>
              <w:rPr>
                <w:rFonts w:hint="eastAsia" w:ascii="宋体" w:hAnsi="宋体" w:cs="宋体"/>
                <w:color w:val="000000"/>
                <w:kern w:val="0"/>
                <w:lang w:bidi="ar"/>
              </w:rPr>
              <w:br w:type="textWrapping"/>
            </w:r>
            <w:r>
              <w:rPr>
                <w:rFonts w:hint="eastAsia" w:ascii="宋体" w:hAnsi="宋体" w:cs="宋体"/>
                <w:color w:val="000000"/>
                <w:kern w:val="0"/>
                <w:lang w:bidi="ar"/>
              </w:rPr>
              <w:t>角度：10°</w:t>
            </w:r>
            <w:r>
              <w:rPr>
                <w:rFonts w:hint="eastAsia" w:ascii="宋体" w:hAnsi="宋体" w:cs="宋体"/>
                <w:color w:val="000000"/>
                <w:kern w:val="0"/>
                <w:lang w:bidi="ar"/>
              </w:rPr>
              <w:br w:type="textWrapping"/>
            </w:r>
            <w:r>
              <w:rPr>
                <w:rFonts w:hint="eastAsia" w:ascii="宋体" w:hAnsi="宋体" w:cs="宋体"/>
                <w:color w:val="000000"/>
                <w:kern w:val="0"/>
                <w:lang w:bidi="ar"/>
              </w:rPr>
              <w:t>光源:≥300W 进口LED模组；</w:t>
            </w:r>
            <w:r>
              <w:rPr>
                <w:rFonts w:hint="eastAsia" w:ascii="宋体" w:hAnsi="宋体" w:cs="宋体"/>
                <w:color w:val="000000"/>
                <w:kern w:val="0"/>
                <w:lang w:bidi="ar"/>
              </w:rPr>
              <w:br w:type="textWrapping"/>
            </w:r>
            <w:r>
              <w:rPr>
                <w:rFonts w:hint="eastAsia" w:ascii="宋体" w:hAnsi="宋体" w:cs="宋体"/>
                <w:color w:val="000000"/>
                <w:kern w:val="0"/>
                <w:lang w:bidi="ar"/>
              </w:rPr>
              <w:t>色温：3200k-5600k可调</w:t>
            </w:r>
            <w:r>
              <w:rPr>
                <w:rFonts w:hint="eastAsia" w:ascii="宋体" w:hAnsi="宋体" w:cs="宋体"/>
                <w:color w:val="000000"/>
                <w:kern w:val="0"/>
                <w:lang w:bidi="ar"/>
              </w:rPr>
              <w:br w:type="textWrapping"/>
            </w:r>
            <w:r>
              <w:rPr>
                <w:rFonts w:hint="eastAsia" w:ascii="宋体" w:hAnsi="宋体" w:cs="宋体"/>
                <w:color w:val="000000"/>
                <w:kern w:val="0"/>
                <w:lang w:bidi="ar"/>
              </w:rPr>
              <w:t>显色指数：≥95；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6315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36</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73630">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套</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945A9">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highlight w:val="none"/>
              </w:rPr>
            </w:pPr>
            <w:r>
              <w:rPr>
                <w:rFonts w:hint="eastAsia" w:ascii="宋体" w:hAnsi="宋体" w:cs="宋体"/>
                <w:color w:val="000000"/>
                <w:kern w:val="0"/>
                <w:highlight w:val="none"/>
                <w:lang w:bidi="ar"/>
              </w:rPr>
              <w:t>珠江、魔龙、雅江或同等档次及以上品牌</w:t>
            </w:r>
          </w:p>
        </w:tc>
      </w:tr>
      <w:tr w14:paraId="7679C18C">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74218">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rPr>
              <w:t>10</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B715A">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LED会议平板灯</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41658">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功率：不少于200W LED</w:t>
            </w:r>
            <w:r>
              <w:rPr>
                <w:rFonts w:hint="eastAsia" w:ascii="宋体" w:hAnsi="宋体" w:cs="宋体"/>
                <w:color w:val="000000"/>
                <w:kern w:val="0"/>
                <w:lang w:bidi="ar"/>
              </w:rPr>
              <w:br w:type="textWrapping"/>
            </w:r>
            <w:r>
              <w:rPr>
                <w:rFonts w:hint="eastAsia" w:ascii="宋体" w:hAnsi="宋体" w:cs="宋体"/>
                <w:color w:val="000000"/>
                <w:kern w:val="0"/>
                <w:lang w:bidi="ar"/>
              </w:rPr>
              <w:t>角度：≥100°</w:t>
            </w:r>
            <w:r>
              <w:rPr>
                <w:rFonts w:hint="eastAsia" w:ascii="宋体" w:hAnsi="宋体" w:cs="宋体"/>
                <w:color w:val="000000"/>
                <w:kern w:val="0"/>
                <w:lang w:bidi="ar"/>
              </w:rPr>
              <w:br w:type="textWrapping"/>
            </w:r>
            <w:r>
              <w:rPr>
                <w:rFonts w:hint="eastAsia" w:ascii="宋体" w:hAnsi="宋体" w:cs="宋体"/>
                <w:color w:val="000000"/>
                <w:kern w:val="0"/>
                <w:lang w:bidi="ar"/>
              </w:rPr>
              <w:t>显色还原:RA≥95</w:t>
            </w:r>
            <w:r>
              <w:rPr>
                <w:rFonts w:hint="eastAsia" w:ascii="宋体" w:hAnsi="宋体" w:cs="宋体"/>
                <w:color w:val="000000"/>
                <w:kern w:val="0"/>
                <w:lang w:bidi="ar"/>
              </w:rPr>
              <w:br w:type="textWrapping"/>
            </w:r>
            <w:r>
              <w:rPr>
                <w:rFonts w:hint="eastAsia" w:ascii="宋体" w:hAnsi="宋体" w:cs="宋体"/>
                <w:color w:val="000000"/>
                <w:kern w:val="0"/>
                <w:lang w:bidi="ar"/>
              </w:rPr>
              <w:t>色温：3200K-6000K可调</w:t>
            </w:r>
            <w:r>
              <w:rPr>
                <w:rFonts w:hint="eastAsia" w:ascii="宋体" w:hAnsi="宋体" w:cs="宋体"/>
                <w:color w:val="000000"/>
                <w:kern w:val="0"/>
                <w:lang w:bidi="ar"/>
              </w:rPr>
              <w:br w:type="textWrapping"/>
            </w:r>
            <w:r>
              <w:rPr>
                <w:rFonts w:hint="eastAsia" w:ascii="宋体" w:hAnsi="宋体" w:cs="宋体"/>
                <w:color w:val="000000"/>
                <w:kern w:val="0"/>
                <w:lang w:bidi="ar"/>
              </w:rPr>
              <w:t>静音型，无风扇；</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ACB8">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50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10DEC">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套</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8EBD2">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highlight w:val="none"/>
              </w:rPr>
            </w:pPr>
            <w:r>
              <w:rPr>
                <w:rFonts w:hint="eastAsia" w:ascii="宋体" w:hAnsi="宋体" w:cs="宋体"/>
                <w:color w:val="000000"/>
                <w:kern w:val="0"/>
                <w:highlight w:val="none"/>
                <w:lang w:bidi="ar"/>
              </w:rPr>
              <w:t>珠江、魔龙、雅江或同等档次及以上品牌</w:t>
            </w:r>
          </w:p>
        </w:tc>
      </w:tr>
      <w:tr w14:paraId="6C8DF0D5">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FD455">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11</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A3B8E">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LED天幕灯</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2F152">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功率：不少于300W；</w:t>
            </w:r>
            <w:r>
              <w:rPr>
                <w:rFonts w:hint="eastAsia" w:ascii="宋体" w:hAnsi="宋体" w:cs="宋体"/>
                <w:color w:val="000000"/>
                <w:kern w:val="0"/>
                <w:lang w:bidi="ar"/>
              </w:rPr>
              <w:br w:type="textWrapping"/>
            </w:r>
            <w:r>
              <w:rPr>
                <w:rFonts w:hint="eastAsia" w:ascii="宋体" w:hAnsi="宋体" w:cs="宋体"/>
                <w:color w:val="000000"/>
                <w:kern w:val="0"/>
                <w:lang w:bidi="ar"/>
              </w:rPr>
              <w:t>LED光源：≥120颗，不少于5种颜色灯珠；</w:t>
            </w:r>
            <w:r>
              <w:rPr>
                <w:rFonts w:hint="eastAsia" w:ascii="宋体" w:hAnsi="宋体" w:cs="宋体"/>
                <w:color w:val="000000"/>
                <w:kern w:val="0"/>
                <w:lang w:bidi="ar"/>
              </w:rPr>
              <w:br w:type="textWrapping"/>
            </w:r>
            <w:r>
              <w:rPr>
                <w:rFonts w:hint="eastAsia" w:ascii="宋体" w:hAnsi="宋体" w:cs="宋体"/>
                <w:color w:val="000000"/>
                <w:kern w:val="0"/>
                <w:lang w:bidi="ar"/>
              </w:rPr>
              <w:t>角度：优于或者等于60°；</w:t>
            </w:r>
            <w:r>
              <w:rPr>
                <w:rFonts w:hint="eastAsia" w:ascii="宋体" w:hAnsi="宋体" w:cs="宋体"/>
                <w:color w:val="000000"/>
                <w:kern w:val="0"/>
                <w:lang w:bidi="ar"/>
              </w:rPr>
              <w:br w:type="textWrapping"/>
            </w:r>
            <w:r>
              <w:rPr>
                <w:rFonts w:hint="eastAsia" w:ascii="宋体" w:hAnsi="宋体" w:cs="宋体"/>
                <w:color w:val="000000"/>
                <w:kern w:val="0"/>
                <w:lang w:bidi="ar"/>
              </w:rPr>
              <w:t>国际标准DMX512控制协议与RDM控制方式；</w:t>
            </w:r>
            <w:r>
              <w:rPr>
                <w:rFonts w:hint="eastAsia" w:ascii="宋体" w:hAnsi="宋体" w:cs="宋体"/>
                <w:color w:val="000000"/>
                <w:kern w:val="0"/>
                <w:lang w:bidi="ar"/>
              </w:rPr>
              <w:br w:type="textWrapping"/>
            </w:r>
            <w:r>
              <w:rPr>
                <w:rFonts w:hint="eastAsia" w:ascii="宋体" w:hAnsi="宋体" w:cs="宋体"/>
                <w:color w:val="000000"/>
                <w:kern w:val="0"/>
                <w:lang w:bidi="ar"/>
              </w:rPr>
              <w:t>精准线性调光0-100%，16 bit调光；</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2B148">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24</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94126">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套</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DB9C8">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highlight w:val="none"/>
              </w:rPr>
            </w:pPr>
            <w:r>
              <w:rPr>
                <w:rFonts w:hint="eastAsia" w:ascii="宋体" w:hAnsi="宋体" w:cs="宋体"/>
                <w:color w:val="000000"/>
                <w:kern w:val="0"/>
                <w:highlight w:val="none"/>
                <w:lang w:bidi="ar"/>
              </w:rPr>
              <w:t>珠江、魔龙、雅江或同等档次及以上品牌</w:t>
            </w:r>
          </w:p>
        </w:tc>
      </w:tr>
      <w:tr w14:paraId="7CCAB3B7">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2B70">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12</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3FCC1">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追光灯</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70A73">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 xml:space="preserve">额定功率：不少于600W   </w:t>
            </w:r>
            <w:r>
              <w:rPr>
                <w:rFonts w:hint="eastAsia" w:ascii="宋体" w:hAnsi="宋体" w:cs="宋体"/>
                <w:color w:val="000000"/>
                <w:kern w:val="0"/>
                <w:lang w:bidi="ar"/>
              </w:rPr>
              <w:br w:type="textWrapping"/>
            </w:r>
            <w:r>
              <w:rPr>
                <w:rFonts w:hint="eastAsia" w:ascii="宋体" w:hAnsi="宋体" w:cs="宋体"/>
                <w:color w:val="000000"/>
                <w:kern w:val="0"/>
                <w:lang w:bidi="ar"/>
              </w:rPr>
              <w:t>颜色：不少于五色＋白光（红橙黄绿蓝白）</w:t>
            </w:r>
            <w:r>
              <w:rPr>
                <w:rFonts w:hint="eastAsia" w:ascii="宋体" w:hAnsi="宋体" w:cs="宋体"/>
                <w:color w:val="000000"/>
                <w:kern w:val="0"/>
                <w:lang w:bidi="ar"/>
              </w:rPr>
              <w:br w:type="textWrapping"/>
            </w:r>
            <w:r>
              <w:rPr>
                <w:rFonts w:hint="eastAsia" w:ascii="宋体" w:hAnsi="宋体" w:cs="宋体"/>
                <w:color w:val="000000"/>
                <w:kern w:val="0"/>
                <w:lang w:bidi="ar"/>
              </w:rPr>
              <w:t>光源：≥ 600W LED模组</w:t>
            </w:r>
            <w:r>
              <w:rPr>
                <w:rFonts w:hint="eastAsia" w:ascii="宋体" w:hAnsi="宋体" w:cs="宋体"/>
                <w:color w:val="000000"/>
                <w:kern w:val="0"/>
                <w:lang w:bidi="ar"/>
              </w:rPr>
              <w:br w:type="textWrapping"/>
            </w:r>
            <w:r>
              <w:rPr>
                <w:rFonts w:hint="eastAsia" w:ascii="宋体" w:hAnsi="宋体" w:cs="宋体"/>
                <w:color w:val="000000"/>
                <w:kern w:val="0"/>
                <w:lang w:bidi="ar"/>
              </w:rPr>
              <w:t>光束角度：≥ 4-12度</w:t>
            </w:r>
            <w:r>
              <w:rPr>
                <w:rFonts w:hint="eastAsia" w:ascii="宋体" w:hAnsi="宋体" w:cs="宋体"/>
                <w:color w:val="000000"/>
                <w:kern w:val="0"/>
                <w:lang w:bidi="ar"/>
              </w:rPr>
              <w:br w:type="textWrapping"/>
            </w:r>
            <w:r>
              <w:rPr>
                <w:rFonts w:hint="eastAsia" w:ascii="宋体" w:hAnsi="宋体" w:cs="宋体"/>
                <w:color w:val="000000"/>
                <w:kern w:val="0"/>
                <w:lang w:bidi="ar"/>
              </w:rPr>
              <w:t>含脚架</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9B5E4">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2</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36A50">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套</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9AC7">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highlight w:val="none"/>
              </w:rPr>
            </w:pPr>
            <w:r>
              <w:rPr>
                <w:rFonts w:hint="eastAsia" w:ascii="宋体" w:hAnsi="宋体" w:cs="宋体"/>
                <w:color w:val="000000"/>
                <w:kern w:val="0"/>
                <w:highlight w:val="none"/>
                <w:lang w:bidi="ar"/>
              </w:rPr>
              <w:t>珠江、魔龙、彩熠或同等档次及以上品牌</w:t>
            </w:r>
          </w:p>
        </w:tc>
      </w:tr>
      <w:tr w14:paraId="788A2104">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4DDB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13</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AC468">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LED摇头染色灯</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30265">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光源：≥600W</w:t>
            </w:r>
            <w:r>
              <w:rPr>
                <w:rFonts w:hint="eastAsia" w:ascii="宋体" w:hAnsi="宋体" w:cs="宋体"/>
                <w:color w:val="000000"/>
                <w:kern w:val="0"/>
                <w:lang w:bidi="ar"/>
              </w:rPr>
              <w:br w:type="textWrapping"/>
            </w:r>
            <w:r>
              <w:rPr>
                <w:rFonts w:hint="eastAsia" w:ascii="宋体" w:hAnsi="宋体" w:cs="宋体"/>
                <w:color w:val="000000"/>
                <w:kern w:val="0"/>
                <w:lang w:bidi="ar"/>
              </w:rPr>
              <w:t>光源颜色：单颗灯珠≥4种颜色 RGBL</w:t>
            </w:r>
            <w:r>
              <w:rPr>
                <w:rFonts w:hint="eastAsia" w:ascii="宋体" w:hAnsi="宋体" w:cs="宋体"/>
                <w:color w:val="000000"/>
                <w:kern w:val="0"/>
                <w:lang w:bidi="ar"/>
              </w:rPr>
              <w:br w:type="textWrapping"/>
            </w:r>
            <w:r>
              <w:rPr>
                <w:rFonts w:hint="eastAsia" w:ascii="宋体" w:hAnsi="宋体" w:cs="宋体"/>
                <w:color w:val="000000"/>
                <w:kern w:val="0"/>
                <w:lang w:bidi="ar"/>
              </w:rPr>
              <w:t>光束角：≥10倍变焦3.5°-38°</w:t>
            </w:r>
            <w:r>
              <w:rPr>
                <w:rFonts w:hint="eastAsia" w:ascii="宋体" w:hAnsi="宋体" w:cs="宋体"/>
                <w:color w:val="000000"/>
                <w:kern w:val="0"/>
                <w:lang w:bidi="ar"/>
              </w:rPr>
              <w:br w:type="textWrapping"/>
            </w:r>
            <w:r>
              <w:rPr>
                <w:rFonts w:hint="eastAsia" w:ascii="宋体" w:hAnsi="宋体" w:cs="宋体"/>
                <w:color w:val="000000"/>
                <w:kern w:val="0"/>
                <w:lang w:bidi="ar"/>
              </w:rPr>
              <w:t xml:space="preserve">光斑角：≥10倍变焦6°-60° </w:t>
            </w:r>
            <w:r>
              <w:rPr>
                <w:rFonts w:hint="eastAsia" w:ascii="宋体" w:hAnsi="宋体" w:cs="宋体"/>
                <w:color w:val="000000"/>
                <w:kern w:val="0"/>
                <w:lang w:bidi="ar"/>
              </w:rPr>
              <w:br w:type="textWrapping"/>
            </w:r>
            <w:r>
              <w:rPr>
                <w:rFonts w:hint="eastAsia" w:ascii="宋体" w:hAnsi="宋体" w:cs="宋体"/>
                <w:color w:val="000000"/>
                <w:kern w:val="0"/>
                <w:lang w:bidi="ar"/>
              </w:rPr>
              <w:t>机械运动：水平540°、垂直220°（8-16Bit扫描）</w:t>
            </w:r>
            <w:r>
              <w:rPr>
                <w:rFonts w:hint="eastAsia" w:ascii="宋体" w:hAnsi="宋体" w:cs="宋体"/>
                <w:color w:val="000000"/>
                <w:kern w:val="0"/>
                <w:lang w:bidi="ar"/>
              </w:rPr>
              <w:br w:type="textWrapping"/>
            </w:r>
            <w:r>
              <w:rPr>
                <w:rFonts w:hint="eastAsia" w:ascii="宋体" w:hAnsi="宋体" w:cs="宋体"/>
                <w:color w:val="000000"/>
                <w:kern w:val="0"/>
                <w:lang w:bidi="ar"/>
              </w:rPr>
              <w:t xml:space="preserve">调光：0-100%（16bit）的调光 </w:t>
            </w:r>
            <w:r>
              <w:rPr>
                <w:rFonts w:hint="eastAsia" w:ascii="宋体" w:hAnsi="宋体" w:cs="宋体"/>
                <w:color w:val="000000"/>
                <w:kern w:val="0"/>
                <w:lang w:bidi="ar"/>
              </w:rPr>
              <w:br w:type="textWrapping"/>
            </w:r>
            <w:r>
              <w:rPr>
                <w:rFonts w:hint="eastAsia" w:ascii="宋体" w:hAnsi="宋体" w:cs="宋体"/>
                <w:color w:val="000000"/>
                <w:kern w:val="0"/>
                <w:lang w:bidi="ar"/>
              </w:rPr>
              <w:t>控制协议：≥4种控制协议（DMX512、RDM、WIFI、蓝牙）</w:t>
            </w:r>
            <w:r>
              <w:rPr>
                <w:rFonts w:hint="eastAsia" w:ascii="宋体" w:hAnsi="宋体" w:cs="宋体"/>
                <w:color w:val="000000"/>
                <w:kern w:val="0"/>
                <w:lang w:bidi="ar"/>
              </w:rPr>
              <w:br w:type="textWrapping"/>
            </w:r>
            <w:r>
              <w:rPr>
                <w:rFonts w:hint="eastAsia" w:ascii="宋体" w:hAnsi="宋体" w:cs="宋体"/>
                <w:color w:val="000000"/>
                <w:kern w:val="0"/>
                <w:lang w:bidi="ar"/>
              </w:rPr>
              <w:t>通道模式：≥5种通道模式</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79BCD">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52</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07B0A">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套</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95C60">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highlight w:val="none"/>
              </w:rPr>
            </w:pPr>
            <w:r>
              <w:rPr>
                <w:rFonts w:hint="eastAsia" w:ascii="宋体" w:hAnsi="宋体" w:cs="宋体"/>
                <w:color w:val="000000"/>
                <w:kern w:val="0"/>
                <w:highlight w:val="none"/>
                <w:lang w:bidi="ar"/>
              </w:rPr>
              <w:t>珠江、彩熠、雅江或同等档次及以上品牌</w:t>
            </w:r>
          </w:p>
        </w:tc>
      </w:tr>
      <w:tr w14:paraId="1553D402">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34594">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14</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8D7CB">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切割电脑灯</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6C22">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lang w:bidi="ar"/>
              </w:rPr>
              <w:t xml:space="preserve">光源：≥1400W </w:t>
            </w:r>
            <w:r>
              <w:rPr>
                <w:rFonts w:hint="eastAsia" w:ascii="宋体" w:hAnsi="宋体" w:cs="宋体"/>
                <w:color w:val="000000"/>
                <w:kern w:val="0"/>
                <w:lang w:bidi="ar"/>
              </w:rPr>
              <w:br w:type="textWrapping"/>
            </w:r>
            <w:r>
              <w:rPr>
                <w:rFonts w:hint="eastAsia" w:ascii="宋体" w:hAnsi="宋体" w:cs="宋体"/>
                <w:color w:val="000000"/>
                <w:kern w:val="0"/>
                <w:lang w:bidi="ar"/>
              </w:rPr>
              <w:t>支持CTO线性降色温+CMY线性混色系统</w:t>
            </w:r>
            <w:r>
              <w:rPr>
                <w:rFonts w:hint="eastAsia" w:ascii="宋体" w:hAnsi="宋体" w:cs="宋体"/>
                <w:color w:val="000000"/>
                <w:kern w:val="0"/>
                <w:lang w:bidi="ar"/>
              </w:rPr>
              <w:br w:type="textWrapping"/>
            </w:r>
            <w:r>
              <w:rPr>
                <w:rFonts w:hint="eastAsia" w:ascii="宋体" w:hAnsi="宋体" w:cs="宋体"/>
                <w:color w:val="000000"/>
                <w:kern w:val="0"/>
                <w:lang w:bidi="ar"/>
              </w:rPr>
              <w:t>颜色盘：不小于5个颜色+白光，可变速双向彩虹效果</w:t>
            </w:r>
            <w:r>
              <w:rPr>
                <w:rFonts w:hint="eastAsia" w:ascii="宋体" w:hAnsi="宋体" w:cs="宋体"/>
                <w:color w:val="000000"/>
                <w:kern w:val="0"/>
                <w:lang w:bidi="ar"/>
              </w:rPr>
              <w:br w:type="textWrapping"/>
            </w:r>
            <w:r>
              <w:rPr>
                <w:rFonts w:hint="eastAsia" w:ascii="宋体" w:hAnsi="宋体" w:cs="宋体"/>
                <w:color w:val="000000"/>
                <w:kern w:val="0"/>
                <w:lang w:bidi="ar"/>
              </w:rPr>
              <w:t>图案盘：不少于2个图案盘（固定+旋转），不少于10个图案片</w:t>
            </w:r>
            <w:r>
              <w:rPr>
                <w:rFonts w:hint="eastAsia" w:ascii="宋体" w:hAnsi="宋体" w:cs="宋体"/>
                <w:color w:val="000000"/>
                <w:kern w:val="0"/>
                <w:lang w:bidi="ar"/>
              </w:rPr>
              <w:br w:type="textWrapping"/>
            </w:r>
            <w:r>
              <w:rPr>
                <w:rFonts w:hint="eastAsia" w:ascii="宋体" w:hAnsi="宋体" w:cs="宋体"/>
                <w:color w:val="000000"/>
                <w:kern w:val="0"/>
                <w:lang w:bidi="ar"/>
              </w:rPr>
              <w:t>1个造型盘：4个造型片，造型盘可正反360°连续旋转</w:t>
            </w:r>
            <w:r>
              <w:rPr>
                <w:rFonts w:hint="eastAsia" w:ascii="宋体" w:hAnsi="宋体" w:cs="宋体"/>
                <w:color w:val="000000"/>
                <w:kern w:val="0"/>
                <w:lang w:bidi="ar"/>
              </w:rPr>
              <w:br w:type="textWrapping"/>
            </w:r>
            <w:r>
              <w:rPr>
                <w:rFonts w:hint="eastAsia" w:ascii="宋体" w:hAnsi="宋体" w:cs="宋体"/>
                <w:color w:val="000000"/>
                <w:kern w:val="0"/>
                <w:lang w:bidi="ar"/>
              </w:rPr>
              <w:t>出光角度：变焦范围优于8°-50°</w:t>
            </w:r>
            <w:r>
              <w:rPr>
                <w:rFonts w:hint="eastAsia" w:ascii="宋体" w:hAnsi="宋体" w:cs="宋体"/>
                <w:color w:val="000000"/>
                <w:kern w:val="0"/>
                <w:lang w:bidi="ar"/>
              </w:rPr>
              <w:br w:type="textWrapping"/>
            </w:r>
            <w:r>
              <w:rPr>
                <w:rFonts w:hint="eastAsia" w:ascii="宋体" w:hAnsi="宋体" w:cs="宋体"/>
                <w:color w:val="000000"/>
                <w:kern w:val="0"/>
                <w:lang w:bidi="ar"/>
              </w:rPr>
              <w:t>含进口灯泡、灯钩、保险链</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1D929">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37</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99FEB">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套</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6834A">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highlight w:val="none"/>
              </w:rPr>
            </w:pPr>
            <w:r>
              <w:rPr>
                <w:rFonts w:hint="eastAsia" w:ascii="宋体" w:hAnsi="宋体" w:cs="宋体"/>
                <w:color w:val="000000"/>
                <w:kern w:val="0"/>
                <w:highlight w:val="none"/>
                <w:lang w:bidi="ar"/>
              </w:rPr>
              <w:t>珠江、彩熠、雅江或同等档次及以上品牌</w:t>
            </w:r>
          </w:p>
        </w:tc>
      </w:tr>
      <w:tr w14:paraId="76E3749E">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07440">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15</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D6CE2">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sz w:val="22"/>
                <w:szCs w:val="22"/>
                <w:lang w:bidi="ar"/>
              </w:rPr>
              <w:t>四合一电脑灯</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958C">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1、输入电压：100V-240V AC，50/60Hz</w:t>
            </w:r>
          </w:p>
          <w:p w14:paraId="3D519906">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2、额定功率：≥550W @ 220V，功率因数：PF〉0.95</w:t>
            </w:r>
          </w:p>
          <w:p w14:paraId="56311597">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3、光源：≥350W 白光 LED模组，色温：8000 K，额定寿命：20000小时</w:t>
            </w:r>
          </w:p>
          <w:p w14:paraId="4BC06F76">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4、颜色：CYM线性混色系统，具宏指令功能，色温校正：CTO色温线性调节</w:t>
            </w:r>
          </w:p>
          <w:p w14:paraId="53041D5F">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 xml:space="preserve">5、1个颜色盘：12个颜色+白光，可变速双向彩虹效果，步进/线性转换颜色可选 </w:t>
            </w:r>
          </w:p>
          <w:p w14:paraId="6C615056">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6、造型：1个造型盘，四个造型片，可生成各种不同尺寸和形状的几何图形，造型可双向360°无极旋转，每个造型片可生成全帘幕效果</w:t>
            </w:r>
          </w:p>
          <w:p w14:paraId="56B62E5E">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7、图案：1个旋转图案盘：7个自转图案+白光，具有变速抖动效果、双向变速流动效果</w:t>
            </w:r>
          </w:p>
          <w:p w14:paraId="1C989C35">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自转图案片可换。</w:t>
            </w:r>
          </w:p>
          <w:p w14:paraId="51156CA5">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8、棱镜：1个三棱镜，可双向旋转。可选配其它棱镜</w:t>
            </w:r>
          </w:p>
          <w:p w14:paraId="3555776A">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9、雾化：独立雾化染色效果</w:t>
            </w:r>
          </w:p>
          <w:p w14:paraId="6BBC2537">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rPr>
            </w:pPr>
            <w:r>
              <w:rPr>
                <w:rFonts w:hint="eastAsia" w:ascii="宋体" w:hAnsi="宋体" w:cs="宋体"/>
                <w:color w:val="000000"/>
                <w:kern w:val="0"/>
                <w:sz w:val="22"/>
                <w:szCs w:val="22"/>
                <w:lang w:bidi="ar"/>
              </w:rPr>
              <w:t>10、光圈：5-100%线性调节，具有宏功能多效果变化</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2DD64">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8EB63">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套</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3C4D4">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珠江、</w:t>
            </w:r>
            <w:r>
              <w:rPr>
                <w:rFonts w:hint="eastAsia" w:ascii="宋体" w:hAnsi="宋体" w:cs="宋体"/>
                <w:color w:val="000000"/>
                <w:kern w:val="0"/>
                <w:highlight w:val="none"/>
                <w:lang w:bidi="ar"/>
              </w:rPr>
              <w:t>彩熠、浩洋或同等档次及以</w:t>
            </w:r>
            <w:r>
              <w:rPr>
                <w:rFonts w:hint="eastAsia" w:ascii="宋体" w:hAnsi="宋体" w:cs="宋体"/>
                <w:color w:val="000000"/>
                <w:kern w:val="0"/>
                <w:lang w:bidi="ar"/>
              </w:rPr>
              <w:t>上品牌</w:t>
            </w:r>
          </w:p>
        </w:tc>
      </w:tr>
      <w:tr w14:paraId="72E2DA30">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E43C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16</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4125A">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舞台灯光、设备调试</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4AC6A">
            <w:pPr>
              <w:keepNext w:val="0"/>
              <w:keepLines w:val="0"/>
              <w:pageBreakBefore w:val="0"/>
              <w:kinsoku/>
              <w:overflowPunct/>
              <w:topLinePunct w:val="0"/>
              <w:bidi w:val="0"/>
              <w:spacing w:beforeAutospacing="0" w:after="0" w:afterAutospacing="0" w:line="240" w:lineRule="auto"/>
              <w:jc w:val="left"/>
              <w:rPr>
                <w:rFonts w:ascii="宋体" w:hAnsi="宋体" w:cs="宋体"/>
                <w:color w:val="000000"/>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5106">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4F4A7">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项</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EE7CC">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w:t>
            </w:r>
          </w:p>
        </w:tc>
      </w:tr>
      <w:tr w14:paraId="789DB169">
        <w:tblPrEx>
          <w:tblCellMar>
            <w:top w:w="0" w:type="dxa"/>
            <w:left w:w="108" w:type="dxa"/>
            <w:bottom w:w="0" w:type="dxa"/>
            <w:right w:w="108" w:type="dxa"/>
          </w:tblCellMar>
        </w:tblPrEx>
        <w:trPr>
          <w:trHeight w:val="395"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958BA">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color w:val="000000"/>
              </w:rPr>
            </w:pPr>
            <w:r>
              <w:rPr>
                <w:rFonts w:hint="eastAsia" w:ascii="宋体" w:hAnsi="宋体" w:cs="宋体"/>
                <w:b/>
                <w:bCs/>
                <w:color w:val="000000"/>
                <w:kern w:val="0"/>
                <w:lang w:bidi="ar"/>
              </w:rPr>
              <w:t>17</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5492">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color w:val="000000"/>
              </w:rPr>
            </w:pPr>
            <w:r>
              <w:rPr>
                <w:rFonts w:hint="eastAsia" w:ascii="宋体" w:hAnsi="宋体" w:cs="宋体"/>
                <w:b/>
                <w:bCs/>
                <w:color w:val="000000"/>
                <w:kern w:val="0"/>
                <w:lang w:bidi="ar"/>
              </w:rPr>
              <w:t>安装服务</w:t>
            </w:r>
          </w:p>
        </w:tc>
        <w:tc>
          <w:tcPr>
            <w:tcW w:w="3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A806D">
            <w:pPr>
              <w:keepNext w:val="0"/>
              <w:keepLines w:val="0"/>
              <w:pageBreakBefore w:val="0"/>
              <w:kinsoku/>
              <w:overflowPunct/>
              <w:topLinePunct w:val="0"/>
              <w:bidi w:val="0"/>
              <w:spacing w:beforeAutospacing="0" w:after="0" w:afterAutospacing="0" w:line="240" w:lineRule="auto"/>
              <w:jc w:val="left"/>
              <w:rPr>
                <w:rFonts w:ascii="宋体" w:hAnsi="宋体" w:cs="宋体"/>
                <w:b/>
                <w:bCs/>
                <w:color w:val="000000"/>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D7702">
            <w:pPr>
              <w:keepNext w:val="0"/>
              <w:keepLines w:val="0"/>
              <w:pageBreakBefore w:val="0"/>
              <w:kinsoku/>
              <w:overflowPunct/>
              <w:topLinePunct w:val="0"/>
              <w:bidi w:val="0"/>
              <w:spacing w:beforeAutospacing="0" w:after="0" w:afterAutospacing="0"/>
              <w:jc w:val="center"/>
              <w:rPr>
                <w:rFonts w:ascii="宋体" w:hAnsi="宋体" w:cs="宋体"/>
                <w:color w:val="000000"/>
              </w:rPr>
            </w:pPr>
            <w:r>
              <w:rPr>
                <w:rFonts w:hint="eastAsia" w:ascii="宋体" w:hAnsi="宋体" w:cs="宋体"/>
                <w:color w:val="000000"/>
                <w:kern w:val="0"/>
                <w:lang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AE9F">
            <w:pPr>
              <w:keepNext w:val="0"/>
              <w:keepLines w:val="0"/>
              <w:pageBreakBefore w:val="0"/>
              <w:kinsoku/>
              <w:overflowPunct/>
              <w:topLinePunct w:val="0"/>
              <w:bidi w:val="0"/>
              <w:spacing w:beforeAutospacing="0" w:after="0" w:afterAutospacing="0"/>
              <w:jc w:val="center"/>
              <w:rPr>
                <w:rFonts w:ascii="宋体" w:hAnsi="宋体" w:cs="宋体"/>
                <w:color w:val="000000"/>
              </w:rPr>
            </w:pPr>
            <w:r>
              <w:rPr>
                <w:rFonts w:hint="eastAsia" w:ascii="宋体" w:hAnsi="宋体" w:cs="宋体"/>
                <w:color w:val="000000"/>
                <w:kern w:val="0"/>
                <w:lang w:bidi="ar"/>
              </w:rPr>
              <w:t>项</w:t>
            </w:r>
          </w:p>
        </w:tc>
        <w:tc>
          <w:tcPr>
            <w:tcW w:w="1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57C52">
            <w:pPr>
              <w:keepNext w:val="0"/>
              <w:keepLines w:val="0"/>
              <w:pageBreakBefore w:val="0"/>
              <w:kinsoku/>
              <w:overflowPunct/>
              <w:topLinePunct w:val="0"/>
              <w:bidi w:val="0"/>
              <w:spacing w:beforeAutospacing="0" w:after="0" w:afterAutospacing="0"/>
              <w:jc w:val="center"/>
              <w:rPr>
                <w:rFonts w:ascii="宋体" w:hAnsi="宋体" w:cs="宋体"/>
                <w:color w:val="000000"/>
              </w:rPr>
            </w:pPr>
          </w:p>
        </w:tc>
      </w:tr>
      <w:tr w14:paraId="78ECD924">
        <w:tblPrEx>
          <w:tblCellMar>
            <w:top w:w="0" w:type="dxa"/>
            <w:left w:w="108" w:type="dxa"/>
            <w:bottom w:w="0" w:type="dxa"/>
            <w:right w:w="108" w:type="dxa"/>
          </w:tblCellMar>
        </w:tblPrEx>
        <w:trPr>
          <w:trHeight w:val="266"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DC62E">
            <w:pPr>
              <w:keepNext w:val="0"/>
              <w:keepLines w:val="0"/>
              <w:pageBreakBefore w:val="0"/>
              <w:widowControl/>
              <w:kinsoku/>
              <w:overflowPunct/>
              <w:topLinePunct w:val="0"/>
              <w:bidi w:val="0"/>
              <w:spacing w:beforeAutospacing="0" w:after="0" w:afterAutospacing="0"/>
              <w:jc w:val="center"/>
              <w:textAlignment w:val="center"/>
              <w:rPr>
                <w:rFonts w:ascii="宋体" w:hAnsi="宋体" w:cs="宋体"/>
                <w:color w:val="000000"/>
              </w:rPr>
            </w:pPr>
            <w:r>
              <w:rPr>
                <w:rFonts w:hint="eastAsia" w:ascii="宋体" w:hAnsi="宋体" w:cs="宋体"/>
                <w:color w:val="000000"/>
                <w:kern w:val="0"/>
                <w:lang w:bidi="ar"/>
              </w:rPr>
              <w:t>17.1</w:t>
            </w:r>
          </w:p>
        </w:tc>
        <w:tc>
          <w:tcPr>
            <w:tcW w:w="81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485B05">
            <w:pPr>
              <w:keepNext w:val="0"/>
              <w:keepLines w:val="0"/>
              <w:pageBreakBefore w:val="0"/>
              <w:widowControl/>
              <w:kinsoku/>
              <w:overflowPunct/>
              <w:topLinePunct w:val="0"/>
              <w:bidi w:val="0"/>
              <w:spacing w:beforeAutospacing="0" w:after="0" w:afterAutospacing="0" w:line="240" w:lineRule="auto"/>
              <w:jc w:val="left"/>
              <w:textAlignment w:val="center"/>
              <w:rPr>
                <w:rFonts w:ascii="宋体" w:hAnsi="宋体" w:cs="宋体"/>
                <w:color w:val="000000"/>
                <w:kern w:val="0"/>
                <w:sz w:val="22"/>
                <w:szCs w:val="22"/>
                <w:lang w:bidi="ar"/>
              </w:rPr>
            </w:pPr>
            <w:r>
              <w:rPr>
                <w:rFonts w:hint="eastAsia" w:ascii="宋体" w:hAnsi="宋体" w:cs="宋体"/>
                <w:color w:val="000000"/>
                <w:kern w:val="0"/>
                <w:lang w:bidi="ar"/>
              </w:rPr>
              <w:t>材料要求：</w:t>
            </w:r>
            <w:r>
              <w:rPr>
                <w:rFonts w:hint="eastAsia" w:ascii="宋体" w:hAnsi="宋体" w:cs="宋体"/>
                <w:color w:val="000000"/>
                <w:kern w:val="0"/>
                <w:lang w:bidi="ar"/>
              </w:rPr>
              <w:br w:type="textWrapping"/>
            </w:r>
            <w:r>
              <w:rPr>
                <w:rFonts w:hint="eastAsia" w:ascii="宋体" w:hAnsi="宋体" w:cs="宋体"/>
                <w:color w:val="000000"/>
                <w:kern w:val="0"/>
                <w:lang w:bidi="ar"/>
              </w:rPr>
              <w:t>1、金属桥架400*200</w:t>
            </w:r>
            <w:r>
              <w:rPr>
                <w:rFonts w:hint="eastAsia" w:ascii="宋体" w:hAnsi="宋体" w:cs="宋体"/>
                <w:color w:val="000000"/>
                <w:kern w:val="0"/>
                <w:sz w:val="22"/>
                <w:szCs w:val="22"/>
                <w:lang w:bidi="ar"/>
              </w:rPr>
              <w:t>国标，镀锌防火，满足工程使用要求；</w:t>
            </w:r>
            <w:r>
              <w:rPr>
                <w:rFonts w:hint="eastAsia" w:ascii="宋体" w:hAnsi="宋体" w:cs="宋体"/>
                <w:color w:val="000000"/>
                <w:kern w:val="0"/>
                <w:lang w:bidi="ar"/>
              </w:rPr>
              <w:t>260米；</w:t>
            </w:r>
            <w:r>
              <w:rPr>
                <w:rFonts w:hint="eastAsia" w:ascii="宋体" w:hAnsi="宋体" w:cs="宋体"/>
                <w:color w:val="000000"/>
                <w:kern w:val="0"/>
                <w:lang w:bidi="ar"/>
              </w:rPr>
              <w:br w:type="textWrapping"/>
            </w:r>
            <w:r>
              <w:rPr>
                <w:rFonts w:hint="eastAsia" w:ascii="宋体" w:hAnsi="宋体" w:cs="宋体"/>
                <w:color w:val="000000"/>
                <w:kern w:val="0"/>
                <w:lang w:bidi="ar"/>
              </w:rPr>
              <w:t>2、金属桥架200*100</w:t>
            </w:r>
            <w:r>
              <w:rPr>
                <w:rFonts w:hint="eastAsia" w:ascii="宋体" w:hAnsi="宋体" w:cs="宋体"/>
                <w:color w:val="000000"/>
                <w:kern w:val="0"/>
                <w:sz w:val="22"/>
                <w:szCs w:val="22"/>
                <w:lang w:bidi="ar"/>
              </w:rPr>
              <w:t>国标，镀锌防火，满足工程使用要求；</w:t>
            </w:r>
            <w:r>
              <w:rPr>
                <w:rFonts w:hint="eastAsia" w:ascii="宋体" w:hAnsi="宋体" w:cs="宋体"/>
                <w:color w:val="000000"/>
                <w:kern w:val="0"/>
                <w:lang w:bidi="ar"/>
              </w:rPr>
              <w:t>550米；</w:t>
            </w:r>
            <w:r>
              <w:rPr>
                <w:rFonts w:hint="eastAsia" w:ascii="宋体" w:hAnsi="宋体" w:cs="宋体"/>
                <w:color w:val="000000"/>
                <w:kern w:val="0"/>
                <w:lang w:bidi="ar"/>
              </w:rPr>
              <w:br w:type="textWrapping"/>
            </w:r>
            <w:r>
              <w:rPr>
                <w:rFonts w:hint="eastAsia" w:ascii="宋体" w:hAnsi="宋体" w:cs="宋体"/>
                <w:color w:val="000000"/>
                <w:kern w:val="0"/>
                <w:lang w:bidi="ar"/>
              </w:rPr>
              <w:t>3、金属桥架100*50</w:t>
            </w:r>
            <w:r>
              <w:rPr>
                <w:rFonts w:hint="eastAsia" w:ascii="宋体" w:hAnsi="宋体" w:cs="宋体"/>
                <w:color w:val="000000"/>
                <w:kern w:val="0"/>
                <w:sz w:val="22"/>
                <w:szCs w:val="22"/>
                <w:lang w:bidi="ar"/>
              </w:rPr>
              <w:t>国标，镀锌防火，满足工程使用要求；</w:t>
            </w:r>
            <w:r>
              <w:rPr>
                <w:rFonts w:hint="eastAsia" w:ascii="宋体" w:hAnsi="宋体" w:cs="宋体"/>
                <w:color w:val="000000"/>
                <w:kern w:val="0"/>
                <w:lang w:bidi="ar"/>
              </w:rPr>
              <w:t>310米；</w:t>
            </w:r>
            <w:r>
              <w:rPr>
                <w:rFonts w:hint="eastAsia" w:ascii="宋体" w:hAnsi="宋体" w:cs="宋体"/>
                <w:color w:val="000000"/>
                <w:kern w:val="0"/>
                <w:lang w:bidi="ar"/>
              </w:rPr>
              <w:br w:type="textWrapping"/>
            </w:r>
            <w:r>
              <w:rPr>
                <w:rFonts w:hint="eastAsia" w:ascii="宋体" w:hAnsi="宋体" w:cs="宋体"/>
                <w:color w:val="000000"/>
                <w:kern w:val="0"/>
                <w:lang w:bidi="ar"/>
              </w:rPr>
              <w:t>4、电缆桥架支撑架安装；</w:t>
            </w:r>
            <w:r>
              <w:rPr>
                <w:rFonts w:hint="eastAsia" w:ascii="宋体" w:hAnsi="宋体" w:cs="宋体"/>
                <w:color w:val="000000"/>
                <w:kern w:val="0"/>
                <w:lang w:bidi="ar"/>
              </w:rPr>
              <w:br w:type="textWrapping"/>
            </w:r>
            <w:r>
              <w:rPr>
                <w:rFonts w:hint="eastAsia" w:ascii="宋体" w:hAnsi="宋体" w:cs="宋体"/>
                <w:color w:val="000000"/>
                <w:kern w:val="0"/>
                <w:lang w:bidi="ar"/>
              </w:rPr>
              <w:t>5、金属穿线管KBG20</w:t>
            </w:r>
            <w:r>
              <w:rPr>
                <w:rFonts w:hint="eastAsia" w:ascii="宋体" w:hAnsi="宋体" w:cs="宋体"/>
                <w:color w:val="000000"/>
                <w:kern w:val="0"/>
                <w:sz w:val="22"/>
                <w:szCs w:val="22"/>
                <w:lang w:bidi="ar"/>
              </w:rPr>
              <w:t>国标，镀锌防火，满足工程使用要求；</w:t>
            </w:r>
            <w:r>
              <w:rPr>
                <w:rFonts w:hint="eastAsia" w:ascii="宋体" w:hAnsi="宋体" w:cs="宋体"/>
                <w:color w:val="000000"/>
                <w:kern w:val="0"/>
                <w:lang w:bidi="ar"/>
              </w:rPr>
              <w:t>700米；</w:t>
            </w:r>
            <w:r>
              <w:rPr>
                <w:rFonts w:hint="eastAsia" w:ascii="宋体" w:hAnsi="宋体" w:cs="宋体"/>
                <w:color w:val="000000"/>
                <w:kern w:val="0"/>
                <w:lang w:bidi="ar"/>
              </w:rPr>
              <w:br w:type="textWrapping"/>
            </w:r>
            <w:r>
              <w:rPr>
                <w:rFonts w:hint="eastAsia" w:ascii="宋体" w:hAnsi="宋体" w:cs="宋体"/>
                <w:color w:val="000000"/>
                <w:kern w:val="0"/>
                <w:lang w:bidi="ar"/>
              </w:rPr>
              <w:t>6、金属穿线管KBG25</w:t>
            </w:r>
            <w:r>
              <w:rPr>
                <w:rFonts w:hint="eastAsia" w:ascii="宋体" w:hAnsi="宋体" w:cs="宋体"/>
                <w:color w:val="000000"/>
                <w:kern w:val="0"/>
                <w:sz w:val="22"/>
                <w:szCs w:val="22"/>
                <w:lang w:bidi="ar"/>
              </w:rPr>
              <w:t>国标，镀锌防火，满足工程使用要求；</w:t>
            </w:r>
            <w:r>
              <w:rPr>
                <w:rFonts w:hint="eastAsia" w:ascii="宋体" w:hAnsi="宋体" w:cs="宋体"/>
                <w:color w:val="000000"/>
                <w:kern w:val="0"/>
                <w:lang w:bidi="ar"/>
              </w:rPr>
              <w:t>600米；</w:t>
            </w:r>
            <w:r>
              <w:rPr>
                <w:rFonts w:hint="eastAsia" w:ascii="宋体" w:hAnsi="宋体" w:cs="宋体"/>
                <w:color w:val="000000"/>
                <w:kern w:val="0"/>
                <w:lang w:bidi="ar"/>
              </w:rPr>
              <w:br w:type="textWrapping"/>
            </w:r>
            <w:r>
              <w:rPr>
                <w:rFonts w:hint="eastAsia" w:ascii="宋体" w:hAnsi="宋体" w:cs="宋体"/>
                <w:color w:val="000000"/>
                <w:kern w:val="0"/>
                <w:lang w:bidi="ar"/>
              </w:rPr>
              <w:t>7、金属穿线管KBG32</w:t>
            </w:r>
            <w:r>
              <w:rPr>
                <w:rFonts w:hint="eastAsia" w:ascii="宋体" w:hAnsi="宋体" w:cs="宋体"/>
                <w:color w:val="000000"/>
                <w:kern w:val="0"/>
                <w:sz w:val="22"/>
                <w:szCs w:val="22"/>
                <w:lang w:bidi="ar"/>
              </w:rPr>
              <w:t>国标，镀锌防火，满足工程使用要求；</w:t>
            </w:r>
            <w:r>
              <w:rPr>
                <w:rFonts w:hint="eastAsia" w:ascii="宋体" w:hAnsi="宋体" w:cs="宋体"/>
                <w:color w:val="000000"/>
                <w:kern w:val="0"/>
                <w:lang w:bidi="ar"/>
              </w:rPr>
              <w:t>360米；</w:t>
            </w:r>
            <w:r>
              <w:rPr>
                <w:rFonts w:hint="eastAsia" w:ascii="宋体" w:hAnsi="宋体" w:cs="宋体"/>
                <w:color w:val="000000"/>
                <w:kern w:val="0"/>
                <w:lang w:bidi="ar"/>
              </w:rPr>
              <w:br w:type="textWrapping"/>
            </w:r>
            <w:r>
              <w:rPr>
                <w:rFonts w:hint="eastAsia" w:ascii="宋体" w:hAnsi="宋体" w:cs="宋体"/>
                <w:color w:val="000000"/>
                <w:kern w:val="0"/>
                <w:lang w:bidi="ar"/>
              </w:rPr>
              <w:t xml:space="preserve">8、电源线WDZB1-SYEER </w:t>
            </w:r>
            <w:r>
              <w:rPr>
                <w:rFonts w:hint="eastAsia" w:ascii="宋体" w:hAnsi="宋体" w:cs="宋体"/>
                <w:color w:val="000000"/>
                <w:kern w:val="0"/>
                <w:sz w:val="22"/>
                <w:szCs w:val="22"/>
                <w:lang w:bidi="ar"/>
              </w:rPr>
              <w:t>3×4mm²低烟无卤软电缆；采用无氧铜、复合弹性体材料；</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 xml:space="preserve">   满足工程使用要求；</w:t>
            </w:r>
            <w:r>
              <w:rPr>
                <w:rFonts w:hint="eastAsia" w:ascii="宋体" w:hAnsi="宋体" w:cs="宋体"/>
                <w:color w:val="000000"/>
                <w:kern w:val="0"/>
                <w:lang w:bidi="ar"/>
              </w:rPr>
              <w:t>25000米；</w:t>
            </w:r>
            <w:r>
              <w:rPr>
                <w:rFonts w:hint="eastAsia" w:ascii="宋体" w:hAnsi="宋体" w:cs="宋体"/>
                <w:color w:val="000000"/>
                <w:kern w:val="0"/>
                <w:lang w:bidi="ar"/>
              </w:rPr>
              <w:br w:type="textWrapping"/>
            </w:r>
            <w:r>
              <w:rPr>
                <w:rFonts w:hint="eastAsia" w:ascii="宋体" w:hAnsi="宋体" w:cs="宋体"/>
                <w:color w:val="000000"/>
                <w:kern w:val="0"/>
                <w:lang w:bidi="ar"/>
              </w:rPr>
              <w:t xml:space="preserve">9、电源线WDZB1-SYEER </w:t>
            </w:r>
            <w:r>
              <w:rPr>
                <w:rFonts w:hint="eastAsia" w:ascii="宋体" w:hAnsi="宋体" w:cs="宋体"/>
                <w:color w:val="000000"/>
                <w:kern w:val="0"/>
                <w:sz w:val="22"/>
                <w:szCs w:val="22"/>
                <w:lang w:bidi="ar"/>
              </w:rPr>
              <w:t>3×2.5mm²低烟无卤软电缆；采用无氧铜、复合弹性体材料；</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 xml:space="preserve">   满足工程使用要求</w:t>
            </w:r>
            <w:r>
              <w:rPr>
                <w:rFonts w:hint="eastAsia" w:ascii="宋体" w:hAnsi="宋体" w:cs="宋体"/>
                <w:color w:val="000000"/>
                <w:kern w:val="0"/>
                <w:lang w:bidi="ar"/>
              </w:rPr>
              <w:t>，1700米；</w:t>
            </w:r>
            <w:r>
              <w:rPr>
                <w:rFonts w:hint="eastAsia" w:ascii="宋体" w:hAnsi="宋体" w:cs="宋体"/>
                <w:color w:val="000000"/>
                <w:kern w:val="0"/>
                <w:lang w:bidi="ar"/>
              </w:rPr>
              <w:br w:type="textWrapping"/>
            </w:r>
            <w:r>
              <w:rPr>
                <w:rFonts w:hint="eastAsia" w:ascii="宋体" w:hAnsi="宋体" w:cs="宋体"/>
                <w:color w:val="000000"/>
                <w:kern w:val="0"/>
                <w:lang w:bidi="ar"/>
              </w:rPr>
              <w:t>10、圆缆或扁平电缆WDZR-SYEEDR 13*4+1NET+2(2*0.3)P，</w:t>
            </w:r>
            <w:r>
              <w:rPr>
                <w:rFonts w:hint="eastAsia" w:ascii="宋体" w:hAnsi="宋体" w:cs="宋体"/>
                <w:color w:val="000000"/>
                <w:kern w:val="0"/>
                <w:sz w:val="22"/>
                <w:szCs w:val="22"/>
                <w:lang w:bidi="ar"/>
              </w:rPr>
              <w:t>含DMX和网络信号线，回</w:t>
            </w:r>
          </w:p>
          <w:p w14:paraId="6643A290">
            <w:pPr>
              <w:keepNext w:val="0"/>
              <w:keepLines w:val="0"/>
              <w:pageBreakBefore w:val="0"/>
              <w:widowControl/>
              <w:kinsoku/>
              <w:overflowPunct/>
              <w:topLinePunct w:val="0"/>
              <w:bidi w:val="0"/>
              <w:spacing w:beforeAutospacing="0" w:after="0" w:afterAutospacing="0" w:line="240" w:lineRule="auto"/>
              <w:ind w:firstLine="440" w:firstLineChars="200"/>
              <w:jc w:val="left"/>
              <w:textAlignment w:val="center"/>
              <w:rPr>
                <w:rFonts w:ascii="宋体" w:hAnsi="宋体" w:cs="宋体"/>
                <w:color w:val="000000"/>
              </w:rPr>
            </w:pPr>
            <w:r>
              <w:rPr>
                <w:rFonts w:hint="eastAsia" w:ascii="宋体" w:hAnsi="宋体" w:cs="宋体"/>
                <w:color w:val="000000"/>
                <w:kern w:val="0"/>
                <w:sz w:val="22"/>
                <w:szCs w:val="22"/>
                <w:lang w:bidi="ar"/>
              </w:rPr>
              <w:t>路满足系统所需；</w:t>
            </w:r>
            <w:r>
              <w:rPr>
                <w:rFonts w:hint="eastAsia" w:ascii="宋体" w:hAnsi="宋体" w:cs="宋体"/>
                <w:color w:val="000000"/>
                <w:kern w:val="0"/>
                <w:lang w:bidi="ar"/>
              </w:rPr>
              <w:t>1000米；</w:t>
            </w:r>
            <w:r>
              <w:rPr>
                <w:rFonts w:hint="eastAsia" w:ascii="宋体" w:hAnsi="宋体" w:cs="宋体"/>
                <w:color w:val="000000"/>
                <w:kern w:val="0"/>
                <w:lang w:bidi="ar"/>
              </w:rPr>
              <w:br w:type="textWrapping"/>
            </w:r>
            <w:r>
              <w:rPr>
                <w:rFonts w:hint="eastAsia" w:ascii="宋体" w:hAnsi="宋体" w:cs="宋体"/>
                <w:color w:val="000000"/>
                <w:kern w:val="0"/>
                <w:lang w:bidi="ar"/>
              </w:rPr>
              <w:t>11、调光柜进线WDZB1-YJY-4*185+1*95</w:t>
            </w:r>
            <w:r>
              <w:rPr>
                <w:rFonts w:hint="eastAsia" w:ascii="宋体" w:hAnsi="宋体" w:cs="宋体"/>
                <w:color w:val="000000"/>
                <w:kern w:val="0"/>
                <w:sz w:val="22"/>
                <w:szCs w:val="22"/>
                <w:lang w:bidi="ar"/>
              </w:rPr>
              <w:t>低烟无卤电缆；满足工程使用要求；</w:t>
            </w:r>
            <w:r>
              <w:rPr>
                <w:rFonts w:hint="eastAsia" w:ascii="宋体" w:hAnsi="宋体" w:cs="宋体"/>
                <w:color w:val="000000"/>
                <w:kern w:val="0"/>
                <w:lang w:bidi="ar"/>
              </w:rPr>
              <w:t>80米；</w:t>
            </w:r>
            <w:r>
              <w:rPr>
                <w:rFonts w:hint="eastAsia" w:ascii="宋体" w:hAnsi="宋体" w:cs="宋体"/>
                <w:color w:val="000000"/>
                <w:kern w:val="0"/>
                <w:lang w:bidi="ar"/>
              </w:rPr>
              <w:br w:type="textWrapping"/>
            </w:r>
            <w:r>
              <w:rPr>
                <w:rFonts w:hint="eastAsia" w:ascii="宋体" w:hAnsi="宋体" w:cs="宋体"/>
                <w:color w:val="000000"/>
                <w:kern w:val="0"/>
                <w:lang w:bidi="ar"/>
              </w:rPr>
              <w:t>12、 以太网控制线CAT6:六类非屏蔽，10000米；</w:t>
            </w:r>
            <w:r>
              <w:rPr>
                <w:rFonts w:hint="eastAsia" w:ascii="宋体" w:hAnsi="宋体" w:cs="宋体"/>
                <w:color w:val="000000"/>
                <w:kern w:val="0"/>
                <w:lang w:bidi="ar"/>
              </w:rPr>
              <w:br w:type="textWrapping"/>
            </w:r>
            <w:r>
              <w:rPr>
                <w:rFonts w:hint="eastAsia" w:ascii="宋体" w:hAnsi="宋体" w:cs="宋体"/>
                <w:color w:val="000000"/>
                <w:kern w:val="0"/>
                <w:lang w:bidi="ar"/>
              </w:rPr>
              <w:t>13、信号控制线DMX512 (5*0.3)P：五芯，阻抗120Ω，满足工程使用要求，11000米；</w:t>
            </w:r>
            <w:r>
              <w:rPr>
                <w:rFonts w:hint="eastAsia" w:ascii="宋体" w:hAnsi="宋体" w:cs="宋体"/>
                <w:color w:val="000000"/>
                <w:kern w:val="0"/>
                <w:lang w:bidi="ar"/>
              </w:rPr>
              <w:br w:type="textWrapping"/>
            </w:r>
            <w:r>
              <w:rPr>
                <w:rFonts w:hint="eastAsia" w:ascii="宋体" w:hAnsi="宋体" w:cs="宋体"/>
                <w:color w:val="000000"/>
                <w:kern w:val="0"/>
                <w:lang w:bidi="ar"/>
              </w:rPr>
              <w:t>14、16A/32A接插件：3芯、防尘、带锁扣、欧标；</w:t>
            </w:r>
            <w:r>
              <w:rPr>
                <w:rFonts w:hint="eastAsia" w:ascii="宋体" w:hAnsi="宋体" w:cs="宋体"/>
                <w:color w:val="000000"/>
                <w:kern w:val="0"/>
                <w:lang w:bidi="ar"/>
              </w:rPr>
              <w:br w:type="textWrapping"/>
            </w:r>
            <w:r>
              <w:rPr>
                <w:rFonts w:hint="eastAsia" w:ascii="宋体" w:hAnsi="宋体" w:cs="宋体"/>
                <w:color w:val="000000"/>
                <w:kern w:val="0"/>
                <w:lang w:bidi="ar"/>
              </w:rPr>
              <w:t>15、网络接插件+插座：满足工程使用要求；</w:t>
            </w:r>
            <w:r>
              <w:rPr>
                <w:rFonts w:hint="eastAsia" w:ascii="宋体" w:hAnsi="宋体" w:cs="宋体"/>
                <w:color w:val="000000"/>
                <w:kern w:val="0"/>
                <w:lang w:bidi="ar"/>
              </w:rPr>
              <w:br w:type="textWrapping"/>
            </w:r>
            <w:r>
              <w:rPr>
                <w:rFonts w:hint="eastAsia" w:ascii="宋体" w:hAnsi="宋体" w:cs="宋体"/>
                <w:color w:val="000000"/>
                <w:kern w:val="0"/>
                <w:lang w:bidi="ar"/>
              </w:rPr>
              <w:t>16、DMX接插件+插座：五芯，满足工程使用要求；</w:t>
            </w:r>
            <w:r>
              <w:rPr>
                <w:rFonts w:hint="eastAsia" w:ascii="宋体" w:hAnsi="宋体" w:cs="宋体"/>
                <w:color w:val="000000"/>
                <w:kern w:val="0"/>
                <w:lang w:bidi="ar"/>
              </w:rPr>
              <w:br w:type="textWrapping"/>
            </w:r>
            <w:r>
              <w:rPr>
                <w:rFonts w:hint="eastAsia" w:ascii="宋体" w:hAnsi="宋体" w:cs="宋体"/>
                <w:color w:val="000000"/>
                <w:kern w:val="0"/>
                <w:lang w:bidi="ar"/>
              </w:rPr>
              <w:t>17、电源、信号盒：满足工程使用要求；</w:t>
            </w:r>
            <w:r>
              <w:rPr>
                <w:rFonts w:hint="eastAsia" w:ascii="宋体" w:hAnsi="宋体" w:cs="宋体"/>
                <w:color w:val="000000"/>
                <w:kern w:val="0"/>
                <w:lang w:bidi="ar"/>
              </w:rPr>
              <w:br w:type="textWrapping"/>
            </w:r>
            <w:r>
              <w:rPr>
                <w:rFonts w:hint="eastAsia" w:ascii="宋体" w:hAnsi="宋体" w:cs="宋体"/>
                <w:color w:val="000000"/>
                <w:kern w:val="0"/>
                <w:lang w:bidi="ar"/>
              </w:rPr>
              <w:t>18、其他工程辅材：满足工程使用要求；</w:t>
            </w:r>
            <w:r>
              <w:rPr>
                <w:rFonts w:hint="eastAsia" w:ascii="宋体" w:hAnsi="宋体" w:cs="宋体"/>
                <w:color w:val="000000"/>
                <w:kern w:val="0"/>
                <w:lang w:bidi="ar"/>
              </w:rPr>
              <w:br w:type="textWrapping"/>
            </w:r>
            <w:r>
              <w:rPr>
                <w:rFonts w:hint="eastAsia" w:ascii="宋体" w:hAnsi="宋体" w:cs="宋体"/>
                <w:color w:val="000000"/>
                <w:kern w:val="0"/>
                <w:lang w:bidi="ar"/>
              </w:rPr>
              <w:t>19、1）拆除原系统管线；2）拆除原系统设备并妥善储存。</w:t>
            </w:r>
          </w:p>
        </w:tc>
      </w:tr>
    </w:tbl>
    <w:p w14:paraId="6C836AD2">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kern w:val="0"/>
          <w:sz w:val="24"/>
          <w:szCs w:val="24"/>
          <w:lang w:bidi="ar"/>
        </w:rPr>
      </w:pPr>
      <w:r>
        <w:rPr>
          <w:rFonts w:hint="eastAsia" w:ascii="宋体" w:hAnsi="宋体" w:cs="宋体"/>
          <w:b/>
          <w:sz w:val="24"/>
          <w:szCs w:val="24"/>
        </w:rPr>
        <w:t>注：（1）</w:t>
      </w:r>
      <w:r>
        <w:rPr>
          <w:rFonts w:hint="eastAsia" w:ascii="宋体" w:hAnsi="宋体" w:cs="宋体"/>
          <w:b/>
          <w:kern w:val="0"/>
          <w:sz w:val="24"/>
          <w:szCs w:val="24"/>
          <w:lang w:bidi="ar"/>
        </w:rPr>
        <w:t>上述</w:t>
      </w:r>
      <w:r>
        <w:rPr>
          <w:rFonts w:hint="eastAsia" w:ascii="宋体" w:hAnsi="宋体" w:cs="宋体"/>
          <w:b/>
          <w:sz w:val="24"/>
          <w:szCs w:val="24"/>
        </w:rPr>
        <w:t>灯具及相关产品在符合</w:t>
      </w:r>
      <w:r>
        <w:rPr>
          <w:rFonts w:hint="eastAsia" w:ascii="宋体" w:hAnsi="宋体" w:cs="宋体"/>
          <w:b/>
          <w:sz w:val="24"/>
          <w:szCs w:val="24"/>
          <w:u w:val="single"/>
        </w:rPr>
        <w:t>招标需求</w:t>
      </w:r>
      <w:r>
        <w:rPr>
          <w:rFonts w:hint="eastAsia" w:ascii="宋体" w:hAnsi="宋体" w:cs="宋体"/>
          <w:b/>
          <w:sz w:val="24"/>
          <w:szCs w:val="24"/>
        </w:rPr>
        <w:t>的前提下（主要产品提供相关证明材料），技术参数允许有正负偏离。</w:t>
      </w:r>
    </w:p>
    <w:p w14:paraId="2CEB6166">
      <w:pPr>
        <w:keepNext w:val="0"/>
        <w:keepLines w:val="0"/>
        <w:pageBreakBefore w:val="0"/>
        <w:kinsoku/>
        <w:overflowPunct/>
        <w:topLinePunct w:val="0"/>
        <w:bidi w:val="0"/>
        <w:spacing w:beforeAutospacing="0" w:after="0" w:afterAutospacing="0" w:line="360" w:lineRule="auto"/>
        <w:ind w:firstLine="480" w:firstLineChars="200"/>
      </w:pPr>
      <w:r>
        <w:rPr>
          <w:rFonts w:hint="eastAsia" w:ascii="宋体" w:hAnsi="宋体" w:cs="宋体"/>
          <w:b/>
          <w:sz w:val="24"/>
          <w:szCs w:val="24"/>
        </w:rPr>
        <w:t>▲</w:t>
      </w:r>
      <w:r>
        <w:rPr>
          <w:rFonts w:hint="eastAsia" w:ascii="宋体" w:hAnsi="宋体" w:cs="宋体"/>
          <w:b/>
          <w:kern w:val="0"/>
          <w:sz w:val="24"/>
          <w:szCs w:val="24"/>
          <w:lang w:bidi="ar"/>
        </w:rPr>
        <w:t>（2）</w:t>
      </w:r>
      <w:r>
        <w:rPr>
          <w:rFonts w:hint="eastAsia" w:ascii="宋体" w:hAnsi="宋体" w:cs="宋体"/>
          <w:b/>
          <w:sz w:val="24"/>
          <w:szCs w:val="24"/>
        </w:rPr>
        <w:t>本项目的核心产品为：</w:t>
      </w:r>
      <w:r>
        <w:rPr>
          <w:rFonts w:hint="eastAsia" w:ascii="宋体" w:hAnsi="宋体" w:cs="宋体"/>
          <w:b/>
          <w:sz w:val="24"/>
          <w:szCs w:val="24"/>
          <w:u w:val="single"/>
        </w:rPr>
        <w:t>综合灯光控制台、LED摇头染色灯、切割电脑灯、</w:t>
      </w:r>
      <w:r>
        <w:rPr>
          <w:rFonts w:hint="eastAsia" w:ascii="宋体" w:hAnsi="宋体" w:cs="宋体"/>
          <w:b/>
          <w:bCs/>
          <w:color w:val="000000"/>
          <w:kern w:val="0"/>
          <w:sz w:val="24"/>
          <w:szCs w:val="24"/>
          <w:u w:val="single"/>
          <w:lang w:bidi="ar"/>
        </w:rPr>
        <w:t>四合一电脑灯</w:t>
      </w:r>
      <w:r>
        <w:rPr>
          <w:rFonts w:hint="eastAsia" w:ascii="宋体" w:hAnsi="宋体" w:cs="宋体"/>
          <w:b/>
          <w:bCs/>
          <w:kern w:val="0"/>
          <w:sz w:val="24"/>
          <w:szCs w:val="24"/>
          <w:u w:val="single"/>
          <w:lang w:bidi="ar"/>
        </w:rPr>
        <w:t>。</w:t>
      </w:r>
    </w:p>
    <w:p w14:paraId="346B878D">
      <w:pPr>
        <w:keepNext w:val="0"/>
        <w:keepLines w:val="0"/>
        <w:pageBreakBefore w:val="0"/>
        <w:kinsoku/>
        <w:overflowPunct/>
        <w:topLinePunct w:val="0"/>
        <w:bidi w:val="0"/>
        <w:spacing w:beforeAutospacing="0" w:after="0" w:afterAutospacing="0" w:line="360" w:lineRule="auto"/>
        <w:ind w:firstLine="240" w:firstLineChars="100"/>
        <w:rPr>
          <w:rFonts w:ascii="宋体" w:hAnsi="宋体" w:cs="宋体"/>
          <w:b/>
          <w:sz w:val="24"/>
        </w:rPr>
      </w:pPr>
      <w:r>
        <w:rPr>
          <w:rFonts w:hint="eastAsia" w:ascii="宋体" w:hAnsi="宋体" w:cs="宋体"/>
          <w:b/>
          <w:sz w:val="24"/>
        </w:rPr>
        <w:t>三、样品要求：</w:t>
      </w:r>
    </w:p>
    <w:p w14:paraId="501E7583">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color w:val="FF0000"/>
          <w:sz w:val="24"/>
        </w:rPr>
      </w:pPr>
      <w:r>
        <w:rPr>
          <w:rFonts w:hint="eastAsia" w:ascii="宋体" w:hAnsi="宋体" w:cs="宋体"/>
          <w:b/>
          <w:sz w:val="24"/>
        </w:rPr>
        <w:t>1、投标人需提供的样品如下：</w:t>
      </w:r>
    </w:p>
    <w:tbl>
      <w:tblPr>
        <w:tblStyle w:val="49"/>
        <w:tblW w:w="4997" w:type="pct"/>
        <w:tblInd w:w="0" w:type="dxa"/>
        <w:tblLayout w:type="autofit"/>
        <w:tblCellMar>
          <w:top w:w="0" w:type="dxa"/>
          <w:left w:w="108" w:type="dxa"/>
          <w:bottom w:w="0" w:type="dxa"/>
          <w:right w:w="108" w:type="dxa"/>
        </w:tblCellMar>
      </w:tblPr>
      <w:tblGrid>
        <w:gridCol w:w="1001"/>
        <w:gridCol w:w="1986"/>
        <w:gridCol w:w="4653"/>
        <w:gridCol w:w="736"/>
        <w:gridCol w:w="679"/>
      </w:tblGrid>
      <w:tr w14:paraId="6D5682F5">
        <w:tblPrEx>
          <w:tblCellMar>
            <w:top w:w="0" w:type="dxa"/>
            <w:left w:w="108" w:type="dxa"/>
            <w:bottom w:w="0" w:type="dxa"/>
            <w:right w:w="108" w:type="dxa"/>
          </w:tblCellMar>
        </w:tblPrEx>
        <w:trPr>
          <w:trHeight w:val="422" w:hRule="atLeast"/>
        </w:trPr>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D17B7">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rPr>
            </w:pPr>
            <w:r>
              <w:rPr>
                <w:rFonts w:hint="eastAsia" w:ascii="宋体" w:hAnsi="宋体" w:cs="宋体"/>
                <w:b/>
                <w:bCs/>
                <w:kern w:val="0"/>
                <w:lang w:bidi="ar"/>
              </w:rPr>
              <w:t>序号</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809DC">
            <w:pPr>
              <w:keepNext w:val="0"/>
              <w:keepLines w:val="0"/>
              <w:pageBreakBefore w:val="0"/>
              <w:kinsoku/>
              <w:overflowPunct/>
              <w:topLinePunct w:val="0"/>
              <w:bidi w:val="0"/>
              <w:spacing w:beforeAutospacing="0" w:after="0" w:afterAutospacing="0"/>
              <w:jc w:val="center"/>
            </w:pPr>
            <w:r>
              <w:rPr>
                <w:rFonts w:hint="eastAsia" w:ascii="宋体" w:hAnsi="宋体" w:cs="宋体"/>
                <w:b/>
                <w:bCs/>
                <w:kern w:val="0"/>
                <w:lang w:bidi="ar"/>
              </w:rPr>
              <w:t>设备名称</w:t>
            </w:r>
          </w:p>
        </w:tc>
        <w:tc>
          <w:tcPr>
            <w:tcW w:w="2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B50C3">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rPr>
            </w:pPr>
            <w:r>
              <w:rPr>
                <w:rFonts w:hint="eastAsia" w:ascii="宋体" w:hAnsi="宋体" w:cs="宋体"/>
                <w:b/>
                <w:bCs/>
                <w:kern w:val="0"/>
                <w:lang w:bidi="ar"/>
              </w:rPr>
              <w:t>主要技术参数</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17734">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rPr>
            </w:pPr>
            <w:r>
              <w:rPr>
                <w:rFonts w:hint="eastAsia" w:ascii="宋体" w:hAnsi="宋体" w:cs="宋体"/>
                <w:b/>
                <w:bCs/>
                <w:kern w:val="0"/>
                <w:lang w:bidi="ar"/>
              </w:rPr>
              <w:t>数量</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A8938">
            <w:pPr>
              <w:keepNext w:val="0"/>
              <w:keepLines w:val="0"/>
              <w:pageBreakBefore w:val="0"/>
              <w:widowControl/>
              <w:kinsoku/>
              <w:overflowPunct/>
              <w:topLinePunct w:val="0"/>
              <w:bidi w:val="0"/>
              <w:spacing w:beforeAutospacing="0" w:after="0" w:afterAutospacing="0"/>
              <w:jc w:val="center"/>
              <w:textAlignment w:val="center"/>
              <w:rPr>
                <w:rFonts w:ascii="宋体" w:hAnsi="宋体" w:cs="宋体"/>
                <w:b/>
                <w:bCs/>
                <w:kern w:val="0"/>
                <w:lang w:bidi="ar"/>
              </w:rPr>
            </w:pPr>
            <w:r>
              <w:rPr>
                <w:rFonts w:hint="eastAsia" w:ascii="宋体" w:hAnsi="宋体" w:cs="宋体"/>
                <w:b/>
                <w:bCs/>
                <w:kern w:val="0"/>
                <w:lang w:bidi="ar"/>
              </w:rPr>
              <w:t>单位</w:t>
            </w:r>
          </w:p>
        </w:tc>
      </w:tr>
      <w:tr w14:paraId="114C85E8">
        <w:tblPrEx>
          <w:tblCellMar>
            <w:top w:w="0" w:type="dxa"/>
            <w:left w:w="108" w:type="dxa"/>
            <w:bottom w:w="0" w:type="dxa"/>
            <w:right w:w="108" w:type="dxa"/>
          </w:tblCellMar>
        </w:tblPrEx>
        <w:trPr>
          <w:trHeight w:val="445" w:hRule="atLeast"/>
        </w:trPr>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37E4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1</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CA7CE">
            <w:pPr>
              <w:keepNext w:val="0"/>
              <w:keepLines w:val="0"/>
              <w:pageBreakBefore w:val="0"/>
              <w:kinsoku/>
              <w:overflowPunct/>
              <w:topLinePunct w:val="0"/>
              <w:bidi w:val="0"/>
              <w:spacing w:beforeAutospacing="0" w:after="0" w:afterAutospacing="0"/>
              <w:jc w:val="center"/>
            </w:pPr>
            <w:r>
              <w:rPr>
                <w:rFonts w:hint="eastAsia"/>
              </w:rPr>
              <w:t>综合灯光控制台</w:t>
            </w:r>
          </w:p>
        </w:tc>
        <w:tc>
          <w:tcPr>
            <w:tcW w:w="2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20275">
            <w:pPr>
              <w:keepNext w:val="0"/>
              <w:keepLines w:val="0"/>
              <w:pageBreakBefore w:val="0"/>
              <w:widowControl/>
              <w:kinsoku/>
              <w:overflowPunct/>
              <w:topLinePunct w:val="0"/>
              <w:bidi w:val="0"/>
              <w:spacing w:beforeAutospacing="0" w:after="0" w:afterAutospacing="0"/>
              <w:jc w:val="left"/>
              <w:textAlignment w:val="center"/>
              <w:rPr>
                <w:rFonts w:ascii="宋体" w:hAnsi="宋体" w:cs="宋体"/>
              </w:rPr>
            </w:pPr>
            <w:r>
              <w:rPr>
                <w:rFonts w:hint="eastAsia" w:ascii="宋体" w:hAnsi="宋体" w:cs="宋体"/>
              </w:rPr>
              <w:t>综合灯光控制台（主）：</w:t>
            </w:r>
          </w:p>
          <w:p w14:paraId="61503FFE">
            <w:pPr>
              <w:keepNext w:val="0"/>
              <w:keepLines w:val="0"/>
              <w:pageBreakBefore w:val="0"/>
              <w:widowControl/>
              <w:kinsoku/>
              <w:overflowPunct/>
              <w:topLinePunct w:val="0"/>
              <w:bidi w:val="0"/>
              <w:spacing w:beforeAutospacing="0" w:after="0" w:afterAutospacing="0"/>
              <w:jc w:val="left"/>
              <w:textAlignment w:val="center"/>
              <w:rPr>
                <w:rFonts w:ascii="宋体" w:hAnsi="宋体" w:cs="宋体"/>
              </w:rPr>
            </w:pPr>
            <w:r>
              <w:rPr>
                <w:rFonts w:hint="eastAsia" w:ascii="宋体" w:hAnsi="宋体" w:cs="宋体"/>
              </w:rPr>
              <w:t>1、≥ 7个DMX输出, 1个DMX输入,连接扩展器,最高可支持65536个通道参数；</w:t>
            </w:r>
          </w:p>
          <w:p w14:paraId="0BB3355F">
            <w:pPr>
              <w:keepNext w:val="0"/>
              <w:keepLines w:val="0"/>
              <w:pageBreakBefore w:val="0"/>
              <w:widowControl/>
              <w:kinsoku/>
              <w:overflowPunct/>
              <w:topLinePunct w:val="0"/>
              <w:bidi w:val="0"/>
              <w:spacing w:beforeAutospacing="0" w:after="0" w:afterAutospacing="0"/>
              <w:jc w:val="left"/>
              <w:textAlignment w:val="center"/>
              <w:rPr>
                <w:rFonts w:ascii="宋体" w:hAnsi="宋体" w:cs="宋体"/>
              </w:rPr>
            </w:pPr>
            <w:r>
              <w:rPr>
                <w:rFonts w:hint="eastAsia" w:ascii="宋体" w:hAnsi="宋体" w:cs="宋体"/>
              </w:rPr>
              <w:t>2、≥内置2个电动可调宽视角15.4英寸触摸屏+1个9英寸高亮度多点触摸屏；</w:t>
            </w:r>
          </w:p>
          <w:p w14:paraId="11D18825">
            <w:pPr>
              <w:keepNext w:val="0"/>
              <w:keepLines w:val="0"/>
              <w:pageBreakBefore w:val="0"/>
              <w:widowControl/>
              <w:kinsoku/>
              <w:overflowPunct/>
              <w:topLinePunct w:val="0"/>
              <w:bidi w:val="0"/>
              <w:spacing w:beforeAutospacing="0" w:after="0" w:afterAutospacing="0"/>
              <w:jc w:val="left"/>
              <w:textAlignment w:val="center"/>
              <w:rPr>
                <w:rFonts w:ascii="宋体" w:hAnsi="宋体" w:cs="宋体"/>
              </w:rPr>
            </w:pPr>
            <w:r>
              <w:rPr>
                <w:rFonts w:hint="eastAsia" w:ascii="宋体" w:hAnsi="宋体" w:cs="宋体"/>
              </w:rPr>
              <w:t>3、≥15个高精度电动推杆；</w:t>
            </w:r>
          </w:p>
          <w:p w14:paraId="64EDC8B3">
            <w:pPr>
              <w:keepNext w:val="0"/>
              <w:keepLines w:val="0"/>
              <w:pageBreakBefore w:val="0"/>
              <w:widowControl/>
              <w:kinsoku/>
              <w:overflowPunct/>
              <w:topLinePunct w:val="0"/>
              <w:bidi w:val="0"/>
              <w:spacing w:beforeAutospacing="0" w:after="0" w:afterAutospacing="0"/>
              <w:jc w:val="left"/>
              <w:textAlignment w:val="center"/>
              <w:rPr>
                <w:rFonts w:ascii="宋体" w:hAnsi="宋体" w:cs="宋体"/>
              </w:rPr>
            </w:pPr>
            <w:r>
              <w:rPr>
                <w:rFonts w:hint="eastAsia" w:ascii="宋体" w:hAnsi="宋体" w:cs="宋体"/>
              </w:rPr>
              <w:t>4、≥2个AB场电动推杆；</w:t>
            </w:r>
          </w:p>
          <w:p w14:paraId="312FEB95">
            <w:pPr>
              <w:keepNext w:val="0"/>
              <w:keepLines w:val="0"/>
              <w:pageBreakBefore w:val="0"/>
              <w:widowControl/>
              <w:kinsoku/>
              <w:overflowPunct/>
              <w:topLinePunct w:val="0"/>
              <w:bidi w:val="0"/>
              <w:spacing w:beforeAutospacing="0" w:after="0" w:afterAutospacing="0"/>
              <w:jc w:val="left"/>
              <w:textAlignment w:val="center"/>
              <w:rPr>
                <w:rFonts w:ascii="宋体" w:hAnsi="宋体" w:cs="宋体"/>
              </w:rPr>
            </w:pPr>
            <w:r>
              <w:rPr>
                <w:rFonts w:hint="eastAsia" w:ascii="宋体" w:hAnsi="宋体" w:cs="宋体"/>
              </w:rPr>
              <w:t>5、≥1个主控推杆，一个调光轮；</w:t>
            </w:r>
          </w:p>
          <w:p w14:paraId="266B45DE">
            <w:pPr>
              <w:keepNext w:val="0"/>
              <w:keepLines w:val="0"/>
              <w:pageBreakBefore w:val="0"/>
              <w:widowControl/>
              <w:kinsoku/>
              <w:overflowPunct/>
              <w:topLinePunct w:val="0"/>
              <w:bidi w:val="0"/>
              <w:spacing w:beforeAutospacing="0" w:after="0" w:afterAutospacing="0"/>
              <w:jc w:val="left"/>
              <w:textAlignment w:val="center"/>
              <w:rPr>
                <w:rFonts w:ascii="宋体" w:hAnsi="宋体" w:cs="宋体"/>
              </w:rPr>
            </w:pPr>
            <w:r>
              <w:rPr>
                <w:rFonts w:hint="eastAsia" w:ascii="宋体" w:hAnsi="宋体" w:cs="宋体"/>
              </w:rPr>
              <w:t>6、≥6个编码器（带PUSH功能）；</w:t>
            </w:r>
          </w:p>
          <w:p w14:paraId="7FEAD0C9">
            <w:pPr>
              <w:keepNext w:val="0"/>
              <w:keepLines w:val="0"/>
              <w:pageBreakBefore w:val="0"/>
              <w:widowControl/>
              <w:kinsoku/>
              <w:overflowPunct/>
              <w:topLinePunct w:val="0"/>
              <w:bidi w:val="0"/>
              <w:spacing w:beforeAutospacing="0" w:after="0" w:afterAutospacing="0"/>
              <w:jc w:val="left"/>
              <w:textAlignment w:val="center"/>
              <w:rPr>
                <w:rFonts w:hint="eastAsia" w:ascii="宋体" w:hAnsi="宋体" w:eastAsia="宋体" w:cs="宋体"/>
                <w:lang w:val="en-US" w:eastAsia="zh-CN"/>
              </w:rPr>
            </w:pPr>
            <w:r>
              <w:rPr>
                <w:rFonts w:hint="eastAsia" w:ascii="宋体" w:hAnsi="宋体" w:cs="宋体"/>
              </w:rPr>
              <w:t>7、≥4个DMX512接口；</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808C1">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1</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CFD1A">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台</w:t>
            </w:r>
          </w:p>
        </w:tc>
      </w:tr>
      <w:tr w14:paraId="3FEFD877">
        <w:tblPrEx>
          <w:tblCellMar>
            <w:top w:w="0" w:type="dxa"/>
            <w:left w:w="108" w:type="dxa"/>
            <w:bottom w:w="0" w:type="dxa"/>
            <w:right w:w="108" w:type="dxa"/>
          </w:tblCellMar>
        </w:tblPrEx>
        <w:trPr>
          <w:trHeight w:val="1100" w:hRule="atLeast"/>
        </w:trPr>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1BD14">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2</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1EAF4">
            <w:pPr>
              <w:keepNext w:val="0"/>
              <w:keepLines w:val="0"/>
              <w:pageBreakBefore w:val="0"/>
              <w:kinsoku/>
              <w:overflowPunct/>
              <w:topLinePunct w:val="0"/>
              <w:bidi w:val="0"/>
              <w:spacing w:beforeAutospacing="0" w:after="0" w:afterAutospacing="0"/>
              <w:jc w:val="center"/>
            </w:pPr>
            <w:r>
              <w:rPr>
                <w:rFonts w:hint="eastAsia"/>
              </w:rPr>
              <w:t>10° LED成像灯</w:t>
            </w:r>
          </w:p>
        </w:tc>
        <w:tc>
          <w:tcPr>
            <w:tcW w:w="2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8CD67">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 xml:space="preserve">功率：不少于300W </w:t>
            </w:r>
          </w:p>
          <w:p w14:paraId="47135786">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角度：10°</w:t>
            </w:r>
          </w:p>
          <w:p w14:paraId="186F3E53">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光源:≥300W 进口LED模组；</w:t>
            </w:r>
          </w:p>
          <w:p w14:paraId="0219E7A0">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色温：3200k-5600k可调</w:t>
            </w:r>
          </w:p>
          <w:p w14:paraId="4EF053D8">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显色指数：≥95；</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1C363">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1</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E105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套</w:t>
            </w:r>
          </w:p>
        </w:tc>
      </w:tr>
      <w:tr w14:paraId="2AB6C567">
        <w:tblPrEx>
          <w:tblCellMar>
            <w:top w:w="0" w:type="dxa"/>
            <w:left w:w="108" w:type="dxa"/>
            <w:bottom w:w="0" w:type="dxa"/>
            <w:right w:w="108" w:type="dxa"/>
          </w:tblCellMar>
        </w:tblPrEx>
        <w:trPr>
          <w:trHeight w:val="1100" w:hRule="atLeast"/>
        </w:trPr>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CFF1D">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3</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967FE">
            <w:pPr>
              <w:keepNext w:val="0"/>
              <w:keepLines w:val="0"/>
              <w:pageBreakBefore w:val="0"/>
              <w:kinsoku/>
              <w:overflowPunct/>
              <w:topLinePunct w:val="0"/>
              <w:bidi w:val="0"/>
              <w:spacing w:beforeAutospacing="0" w:after="0" w:afterAutospacing="0"/>
              <w:jc w:val="center"/>
            </w:pPr>
            <w:r>
              <w:rPr>
                <w:rFonts w:hint="eastAsia"/>
              </w:rPr>
              <w:t>LED会议平板灯</w:t>
            </w:r>
          </w:p>
        </w:tc>
        <w:tc>
          <w:tcPr>
            <w:tcW w:w="2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19DAC">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功率：不少于200W LED</w:t>
            </w:r>
          </w:p>
          <w:p w14:paraId="6A8A90D5">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角度：≥100°</w:t>
            </w:r>
          </w:p>
          <w:p w14:paraId="70ACF62F">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显色还原:RA≥95</w:t>
            </w:r>
          </w:p>
          <w:p w14:paraId="785E7476">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色温：3200K-6000K可调</w:t>
            </w:r>
          </w:p>
          <w:p w14:paraId="35E81FA8">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静音型，无风扇；</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D7C0B">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1</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99B36">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套</w:t>
            </w:r>
          </w:p>
        </w:tc>
      </w:tr>
      <w:tr w14:paraId="225D8A85">
        <w:tblPrEx>
          <w:tblCellMar>
            <w:top w:w="0" w:type="dxa"/>
            <w:left w:w="108" w:type="dxa"/>
            <w:bottom w:w="0" w:type="dxa"/>
            <w:right w:w="108" w:type="dxa"/>
          </w:tblCellMar>
        </w:tblPrEx>
        <w:trPr>
          <w:trHeight w:val="1100" w:hRule="atLeast"/>
        </w:trPr>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104C7">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4</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3DA25">
            <w:pPr>
              <w:keepNext w:val="0"/>
              <w:keepLines w:val="0"/>
              <w:pageBreakBefore w:val="0"/>
              <w:kinsoku/>
              <w:overflowPunct/>
              <w:topLinePunct w:val="0"/>
              <w:bidi w:val="0"/>
              <w:spacing w:beforeAutospacing="0" w:after="0" w:afterAutospacing="0"/>
              <w:jc w:val="center"/>
            </w:pPr>
            <w:r>
              <w:rPr>
                <w:rFonts w:hint="eastAsia"/>
              </w:rPr>
              <w:t>LED天幕灯</w:t>
            </w:r>
          </w:p>
        </w:tc>
        <w:tc>
          <w:tcPr>
            <w:tcW w:w="2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C677E">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功率：不少于300W；</w:t>
            </w:r>
          </w:p>
          <w:p w14:paraId="25F1E3BD">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LED光源：≥120颗，不少于5种颜色灯珠；</w:t>
            </w:r>
          </w:p>
          <w:p w14:paraId="7A621192">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角度：优于或者等于60°；</w:t>
            </w:r>
          </w:p>
          <w:p w14:paraId="419F8A22">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国际标准DMX512控制协议与RDM控制方式；</w:t>
            </w:r>
          </w:p>
          <w:p w14:paraId="30429056">
            <w:pPr>
              <w:keepNext w:val="0"/>
              <w:keepLines w:val="0"/>
              <w:pageBreakBefore w:val="0"/>
              <w:widowControl/>
              <w:kinsoku/>
              <w:overflowPunct/>
              <w:topLinePunct w:val="0"/>
              <w:bidi w:val="0"/>
              <w:spacing w:beforeAutospacing="0" w:after="0" w:afterAutospacing="0"/>
              <w:jc w:val="left"/>
              <w:rPr>
                <w:rFonts w:ascii="宋体" w:hAnsi="宋体" w:cs="宋体"/>
              </w:rPr>
            </w:pPr>
            <w:r>
              <w:rPr>
                <w:rFonts w:hint="eastAsia" w:ascii="宋体" w:hAnsi="宋体" w:cs="宋体"/>
              </w:rPr>
              <w:t>精准线性调光0-100%，16 bit调光；</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E15E1">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1</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B0C80">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套</w:t>
            </w:r>
          </w:p>
        </w:tc>
      </w:tr>
      <w:tr w14:paraId="56764F6F">
        <w:tblPrEx>
          <w:tblCellMar>
            <w:top w:w="0" w:type="dxa"/>
            <w:left w:w="108" w:type="dxa"/>
            <w:bottom w:w="0" w:type="dxa"/>
            <w:right w:w="108" w:type="dxa"/>
          </w:tblCellMar>
        </w:tblPrEx>
        <w:trPr>
          <w:trHeight w:val="1100" w:hRule="atLeast"/>
        </w:trPr>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841C2">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5</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B9F79">
            <w:pPr>
              <w:keepNext w:val="0"/>
              <w:keepLines w:val="0"/>
              <w:pageBreakBefore w:val="0"/>
              <w:widowControl/>
              <w:kinsoku/>
              <w:overflowPunct/>
              <w:topLinePunct w:val="0"/>
              <w:bidi w:val="0"/>
              <w:spacing w:beforeAutospacing="0" w:after="0" w:afterAutospacing="0"/>
              <w:jc w:val="center"/>
              <w:textAlignment w:val="center"/>
            </w:pPr>
            <w:r>
              <w:rPr>
                <w:rFonts w:hint="eastAsia" w:ascii="宋体" w:hAnsi="宋体" w:cs="宋体"/>
                <w:color w:val="000000"/>
                <w:kern w:val="0"/>
                <w:lang w:bidi="ar"/>
              </w:rPr>
              <w:t>LED摇头染色灯</w:t>
            </w:r>
          </w:p>
        </w:tc>
        <w:tc>
          <w:tcPr>
            <w:tcW w:w="2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0C654">
            <w:pPr>
              <w:keepNext w:val="0"/>
              <w:keepLines w:val="0"/>
              <w:pageBreakBefore w:val="0"/>
              <w:widowControl/>
              <w:kinsoku/>
              <w:overflowPunct/>
              <w:topLinePunct w:val="0"/>
              <w:bidi w:val="0"/>
              <w:spacing w:beforeAutospacing="0" w:after="0" w:afterAutospacing="0"/>
              <w:jc w:val="left"/>
              <w:textAlignment w:val="center"/>
              <w:rPr>
                <w:rFonts w:ascii="宋体" w:hAnsi="宋体" w:cs="宋体"/>
              </w:rPr>
            </w:pPr>
            <w:r>
              <w:rPr>
                <w:rFonts w:hint="eastAsia" w:ascii="宋体" w:hAnsi="宋体" w:cs="宋体"/>
                <w:color w:val="000000"/>
                <w:kern w:val="0"/>
                <w:lang w:bidi="ar"/>
              </w:rPr>
              <w:t>光源：≥600W</w:t>
            </w:r>
            <w:r>
              <w:rPr>
                <w:rFonts w:hint="eastAsia" w:ascii="宋体" w:hAnsi="宋体" w:cs="宋体"/>
                <w:color w:val="000000"/>
                <w:kern w:val="0"/>
                <w:lang w:bidi="ar"/>
              </w:rPr>
              <w:br w:type="textWrapping"/>
            </w:r>
            <w:r>
              <w:rPr>
                <w:rFonts w:hint="eastAsia" w:ascii="宋体" w:hAnsi="宋体" w:cs="宋体"/>
                <w:color w:val="000000"/>
                <w:kern w:val="0"/>
                <w:lang w:bidi="ar"/>
              </w:rPr>
              <w:t>光源颜色：单颗灯珠≥4种颜色 RGBL</w:t>
            </w:r>
            <w:r>
              <w:rPr>
                <w:rFonts w:hint="eastAsia" w:ascii="宋体" w:hAnsi="宋体" w:cs="宋体"/>
                <w:color w:val="000000"/>
                <w:kern w:val="0"/>
                <w:lang w:bidi="ar"/>
              </w:rPr>
              <w:br w:type="textWrapping"/>
            </w:r>
            <w:r>
              <w:rPr>
                <w:rFonts w:hint="eastAsia" w:ascii="宋体" w:hAnsi="宋体" w:cs="宋体"/>
                <w:color w:val="000000"/>
                <w:kern w:val="0"/>
                <w:lang w:bidi="ar"/>
              </w:rPr>
              <w:t>光束角：≥10倍变焦3.5°-38°</w:t>
            </w:r>
            <w:r>
              <w:rPr>
                <w:rFonts w:hint="eastAsia" w:ascii="宋体" w:hAnsi="宋体" w:cs="宋体"/>
                <w:color w:val="000000"/>
                <w:kern w:val="0"/>
                <w:lang w:bidi="ar"/>
              </w:rPr>
              <w:br w:type="textWrapping"/>
            </w:r>
            <w:r>
              <w:rPr>
                <w:rFonts w:hint="eastAsia" w:ascii="宋体" w:hAnsi="宋体" w:cs="宋体"/>
                <w:color w:val="000000"/>
                <w:kern w:val="0"/>
                <w:lang w:bidi="ar"/>
              </w:rPr>
              <w:t xml:space="preserve">光斑角：≥10倍变焦6°-60° </w:t>
            </w:r>
            <w:r>
              <w:rPr>
                <w:rFonts w:hint="eastAsia" w:ascii="宋体" w:hAnsi="宋体" w:cs="宋体"/>
                <w:color w:val="000000"/>
                <w:kern w:val="0"/>
                <w:lang w:bidi="ar"/>
              </w:rPr>
              <w:br w:type="textWrapping"/>
            </w:r>
            <w:r>
              <w:rPr>
                <w:rFonts w:hint="eastAsia" w:ascii="宋体" w:hAnsi="宋体" w:cs="宋体"/>
                <w:color w:val="000000"/>
                <w:kern w:val="0"/>
                <w:lang w:bidi="ar"/>
              </w:rPr>
              <w:t>机械运动：水平540°、垂直220°（8-16Bit扫描）</w:t>
            </w:r>
            <w:r>
              <w:rPr>
                <w:rFonts w:hint="eastAsia" w:ascii="宋体" w:hAnsi="宋体" w:cs="宋体"/>
                <w:color w:val="000000"/>
                <w:kern w:val="0"/>
                <w:lang w:bidi="ar"/>
              </w:rPr>
              <w:br w:type="textWrapping"/>
            </w:r>
            <w:r>
              <w:rPr>
                <w:rFonts w:hint="eastAsia" w:ascii="宋体" w:hAnsi="宋体" w:cs="宋体"/>
                <w:color w:val="000000"/>
                <w:kern w:val="0"/>
                <w:lang w:bidi="ar"/>
              </w:rPr>
              <w:t xml:space="preserve">调光：0-100%（16bit）的调光 </w:t>
            </w:r>
            <w:r>
              <w:rPr>
                <w:rFonts w:hint="eastAsia" w:ascii="宋体" w:hAnsi="宋体" w:cs="宋体"/>
                <w:color w:val="000000"/>
                <w:kern w:val="0"/>
                <w:lang w:bidi="ar"/>
              </w:rPr>
              <w:br w:type="textWrapping"/>
            </w:r>
            <w:r>
              <w:rPr>
                <w:rFonts w:hint="eastAsia" w:ascii="宋体" w:hAnsi="宋体" w:cs="宋体"/>
                <w:color w:val="000000"/>
                <w:kern w:val="0"/>
                <w:lang w:bidi="ar"/>
              </w:rPr>
              <w:t>控制协议：≥4种控制协议（DMX512、RDM、WIFI、蓝牙）</w:t>
            </w:r>
            <w:r>
              <w:rPr>
                <w:rFonts w:hint="eastAsia" w:ascii="宋体" w:hAnsi="宋体" w:cs="宋体"/>
                <w:color w:val="000000"/>
                <w:kern w:val="0"/>
                <w:lang w:bidi="ar"/>
              </w:rPr>
              <w:br w:type="textWrapping"/>
            </w:r>
            <w:r>
              <w:rPr>
                <w:rFonts w:hint="eastAsia" w:ascii="宋体" w:hAnsi="宋体" w:cs="宋体"/>
                <w:color w:val="000000"/>
                <w:kern w:val="0"/>
                <w:lang w:bidi="ar"/>
              </w:rPr>
              <w:t>通道模式：≥5种通道模式</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FD79B">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1</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C085C">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套</w:t>
            </w:r>
          </w:p>
        </w:tc>
      </w:tr>
      <w:tr w14:paraId="43F19A8F">
        <w:tblPrEx>
          <w:tblCellMar>
            <w:top w:w="0" w:type="dxa"/>
            <w:left w:w="108" w:type="dxa"/>
            <w:bottom w:w="0" w:type="dxa"/>
            <w:right w:w="108" w:type="dxa"/>
          </w:tblCellMar>
        </w:tblPrEx>
        <w:trPr>
          <w:trHeight w:val="1100" w:hRule="atLeast"/>
        </w:trPr>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76935">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6</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60ED5">
            <w:pPr>
              <w:keepNext w:val="0"/>
              <w:keepLines w:val="0"/>
              <w:pageBreakBefore w:val="0"/>
              <w:widowControl/>
              <w:kinsoku/>
              <w:overflowPunct/>
              <w:topLinePunct w:val="0"/>
              <w:bidi w:val="0"/>
              <w:spacing w:beforeAutospacing="0" w:after="0" w:afterAutospacing="0"/>
              <w:jc w:val="center"/>
              <w:textAlignment w:val="center"/>
            </w:pPr>
            <w:r>
              <w:rPr>
                <w:rFonts w:hint="eastAsia" w:ascii="宋体" w:hAnsi="宋体" w:cs="宋体"/>
                <w:color w:val="000000"/>
                <w:kern w:val="0"/>
                <w:lang w:bidi="ar"/>
              </w:rPr>
              <w:t>切割电脑灯</w:t>
            </w:r>
          </w:p>
        </w:tc>
        <w:tc>
          <w:tcPr>
            <w:tcW w:w="2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C282E">
            <w:pPr>
              <w:keepNext w:val="0"/>
              <w:keepLines w:val="0"/>
              <w:pageBreakBefore w:val="0"/>
              <w:widowControl/>
              <w:kinsoku/>
              <w:overflowPunct/>
              <w:topLinePunct w:val="0"/>
              <w:bidi w:val="0"/>
              <w:spacing w:beforeAutospacing="0" w:after="0" w:afterAutospacing="0"/>
              <w:jc w:val="left"/>
              <w:textAlignment w:val="center"/>
              <w:rPr>
                <w:rFonts w:ascii="宋体" w:hAnsi="宋体" w:cs="宋体"/>
              </w:rPr>
            </w:pPr>
            <w:r>
              <w:rPr>
                <w:rFonts w:hint="eastAsia" w:ascii="宋体" w:hAnsi="宋体" w:cs="宋体"/>
                <w:color w:val="000000"/>
                <w:kern w:val="0"/>
                <w:lang w:bidi="ar"/>
              </w:rPr>
              <w:t xml:space="preserve">光源：≥1400W </w:t>
            </w:r>
            <w:r>
              <w:rPr>
                <w:rFonts w:hint="eastAsia" w:ascii="宋体" w:hAnsi="宋体" w:cs="宋体"/>
                <w:color w:val="000000"/>
                <w:kern w:val="0"/>
                <w:lang w:bidi="ar"/>
              </w:rPr>
              <w:br w:type="textWrapping"/>
            </w:r>
            <w:r>
              <w:rPr>
                <w:rFonts w:hint="eastAsia" w:ascii="宋体" w:hAnsi="宋体" w:cs="宋体"/>
                <w:color w:val="000000"/>
                <w:kern w:val="0"/>
                <w:lang w:bidi="ar"/>
              </w:rPr>
              <w:t>支持CTO线性降色温+CMY线性混色系统</w:t>
            </w:r>
            <w:r>
              <w:rPr>
                <w:rFonts w:hint="eastAsia" w:ascii="宋体" w:hAnsi="宋体" w:cs="宋体"/>
                <w:color w:val="000000"/>
                <w:kern w:val="0"/>
                <w:lang w:bidi="ar"/>
              </w:rPr>
              <w:br w:type="textWrapping"/>
            </w:r>
            <w:r>
              <w:rPr>
                <w:rFonts w:hint="eastAsia" w:ascii="宋体" w:hAnsi="宋体" w:cs="宋体"/>
                <w:color w:val="000000"/>
                <w:kern w:val="0"/>
                <w:lang w:bidi="ar"/>
              </w:rPr>
              <w:t>颜色盘：不小于5个颜色+白光，可变速双向彩虹效果</w:t>
            </w:r>
            <w:r>
              <w:rPr>
                <w:rFonts w:hint="eastAsia" w:ascii="宋体" w:hAnsi="宋体" w:cs="宋体"/>
                <w:color w:val="000000"/>
                <w:kern w:val="0"/>
                <w:lang w:bidi="ar"/>
              </w:rPr>
              <w:br w:type="textWrapping"/>
            </w:r>
            <w:r>
              <w:rPr>
                <w:rFonts w:hint="eastAsia" w:ascii="宋体" w:hAnsi="宋体" w:cs="宋体"/>
                <w:color w:val="000000"/>
                <w:kern w:val="0"/>
                <w:lang w:bidi="ar"/>
              </w:rPr>
              <w:t>图案盘：不少于2个图案盘（固定+旋转），不少于10个图案片</w:t>
            </w:r>
            <w:r>
              <w:rPr>
                <w:rFonts w:hint="eastAsia" w:ascii="宋体" w:hAnsi="宋体" w:cs="宋体"/>
                <w:color w:val="000000"/>
                <w:kern w:val="0"/>
                <w:lang w:bidi="ar"/>
              </w:rPr>
              <w:br w:type="textWrapping"/>
            </w:r>
            <w:r>
              <w:rPr>
                <w:rFonts w:hint="eastAsia" w:ascii="宋体" w:hAnsi="宋体" w:cs="宋体"/>
                <w:color w:val="000000"/>
                <w:kern w:val="0"/>
                <w:lang w:bidi="ar"/>
              </w:rPr>
              <w:t>1个造型盘：4个造型片，造型盘可正反360°连续旋转</w:t>
            </w:r>
            <w:r>
              <w:rPr>
                <w:rFonts w:hint="eastAsia" w:ascii="宋体" w:hAnsi="宋体" w:cs="宋体"/>
                <w:color w:val="000000"/>
                <w:kern w:val="0"/>
                <w:lang w:bidi="ar"/>
              </w:rPr>
              <w:br w:type="textWrapping"/>
            </w:r>
            <w:r>
              <w:rPr>
                <w:rFonts w:hint="eastAsia" w:ascii="宋体" w:hAnsi="宋体" w:cs="宋体"/>
                <w:color w:val="000000"/>
                <w:kern w:val="0"/>
                <w:lang w:bidi="ar"/>
              </w:rPr>
              <w:t>出光角度：变焦范围优于8°-50°</w:t>
            </w:r>
            <w:r>
              <w:rPr>
                <w:rFonts w:hint="eastAsia" w:ascii="宋体" w:hAnsi="宋体" w:cs="宋体"/>
                <w:color w:val="000000"/>
                <w:kern w:val="0"/>
                <w:lang w:bidi="ar"/>
              </w:rPr>
              <w:br w:type="textWrapping"/>
            </w:r>
            <w:r>
              <w:rPr>
                <w:rFonts w:hint="eastAsia" w:ascii="宋体" w:hAnsi="宋体" w:cs="宋体"/>
                <w:color w:val="000000"/>
                <w:kern w:val="0"/>
                <w:lang w:bidi="ar"/>
              </w:rPr>
              <w:t>含进口灯泡、灯钩、保险链</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0B15B">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1</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E9AE5">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套</w:t>
            </w:r>
          </w:p>
        </w:tc>
      </w:tr>
      <w:tr w14:paraId="1EDABAD1">
        <w:tblPrEx>
          <w:tblCellMar>
            <w:top w:w="0" w:type="dxa"/>
            <w:left w:w="108" w:type="dxa"/>
            <w:bottom w:w="0" w:type="dxa"/>
            <w:right w:w="108" w:type="dxa"/>
          </w:tblCellMar>
        </w:tblPrEx>
        <w:trPr>
          <w:trHeight w:val="1100" w:hRule="atLeast"/>
        </w:trPr>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9490F">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7</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F8FC5">
            <w:pPr>
              <w:keepNext w:val="0"/>
              <w:keepLines w:val="0"/>
              <w:pageBreakBefore w:val="0"/>
              <w:widowControl/>
              <w:kinsoku/>
              <w:overflowPunct/>
              <w:topLinePunct w:val="0"/>
              <w:bidi w:val="0"/>
              <w:spacing w:beforeAutospacing="0" w:after="0" w:afterAutospacing="0"/>
              <w:jc w:val="center"/>
              <w:textAlignment w:val="center"/>
            </w:pPr>
            <w:r>
              <w:rPr>
                <w:rFonts w:hint="eastAsia" w:ascii="宋体" w:hAnsi="宋体" w:cs="宋体"/>
                <w:color w:val="000000"/>
                <w:kern w:val="0"/>
                <w:sz w:val="22"/>
                <w:szCs w:val="22"/>
                <w:lang w:bidi="ar"/>
              </w:rPr>
              <w:t>四合一电脑灯</w:t>
            </w:r>
          </w:p>
        </w:tc>
        <w:tc>
          <w:tcPr>
            <w:tcW w:w="4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09485">
            <w:pPr>
              <w:keepNext w:val="0"/>
              <w:keepLines w:val="0"/>
              <w:pageBreakBefore w:val="0"/>
              <w:widowControl/>
              <w:kinsoku/>
              <w:overflowPunct/>
              <w:topLinePunct w:val="0"/>
              <w:bidi w:val="0"/>
              <w:spacing w:beforeAutospacing="0" w:after="0" w:afterAutospacing="0" w:line="240" w:lineRule="exact"/>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1、输入电压：100V-240V AC，50/60Hz</w:t>
            </w:r>
          </w:p>
          <w:p w14:paraId="10603762">
            <w:pPr>
              <w:keepNext w:val="0"/>
              <w:keepLines w:val="0"/>
              <w:pageBreakBefore w:val="0"/>
              <w:widowControl/>
              <w:kinsoku/>
              <w:overflowPunct/>
              <w:topLinePunct w:val="0"/>
              <w:bidi w:val="0"/>
              <w:spacing w:beforeAutospacing="0" w:after="0" w:afterAutospacing="0" w:line="240" w:lineRule="exact"/>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2、额定功率：≥550W @ 220V，功率因数：PF〉0.95</w:t>
            </w:r>
          </w:p>
          <w:p w14:paraId="3325AA9C">
            <w:pPr>
              <w:keepNext w:val="0"/>
              <w:keepLines w:val="0"/>
              <w:pageBreakBefore w:val="0"/>
              <w:widowControl/>
              <w:kinsoku/>
              <w:overflowPunct/>
              <w:topLinePunct w:val="0"/>
              <w:bidi w:val="0"/>
              <w:spacing w:beforeAutospacing="0" w:after="0" w:afterAutospacing="0" w:line="240" w:lineRule="exact"/>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3、光源：≥350W 白光 LED模组，色温：8000 K，额定寿命：20000小时</w:t>
            </w:r>
          </w:p>
          <w:p w14:paraId="6A8F8939">
            <w:pPr>
              <w:keepNext w:val="0"/>
              <w:keepLines w:val="0"/>
              <w:pageBreakBefore w:val="0"/>
              <w:widowControl/>
              <w:kinsoku/>
              <w:overflowPunct/>
              <w:topLinePunct w:val="0"/>
              <w:bidi w:val="0"/>
              <w:spacing w:beforeAutospacing="0" w:after="0" w:afterAutospacing="0" w:line="240" w:lineRule="exact"/>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4、颜色：CYM线性混色系统，具宏指令功能，色温校正：CTO色温线性调节</w:t>
            </w:r>
          </w:p>
          <w:p w14:paraId="3E22C513">
            <w:pPr>
              <w:keepNext w:val="0"/>
              <w:keepLines w:val="0"/>
              <w:pageBreakBefore w:val="0"/>
              <w:widowControl/>
              <w:kinsoku/>
              <w:overflowPunct/>
              <w:topLinePunct w:val="0"/>
              <w:bidi w:val="0"/>
              <w:spacing w:beforeAutospacing="0" w:after="0" w:afterAutospacing="0" w:line="240" w:lineRule="exact"/>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 xml:space="preserve">5、1个颜色盘：12个颜色+白光，可变速双向彩虹效果，步进/线性转换颜色可选 </w:t>
            </w:r>
          </w:p>
          <w:p w14:paraId="4316699B">
            <w:pPr>
              <w:keepNext w:val="0"/>
              <w:keepLines w:val="0"/>
              <w:pageBreakBefore w:val="0"/>
              <w:widowControl/>
              <w:kinsoku/>
              <w:overflowPunct/>
              <w:topLinePunct w:val="0"/>
              <w:bidi w:val="0"/>
              <w:spacing w:beforeAutospacing="0" w:after="0" w:afterAutospacing="0" w:line="240" w:lineRule="exact"/>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6、造型：1个造型盘，四个造型片，可生成各种不同尺寸和形状的几何图形，造型可双向360°无极旋转，每个造型片可生成全帘幕效果</w:t>
            </w:r>
          </w:p>
          <w:p w14:paraId="4BF978F2">
            <w:pPr>
              <w:keepNext w:val="0"/>
              <w:keepLines w:val="0"/>
              <w:pageBreakBefore w:val="0"/>
              <w:widowControl/>
              <w:kinsoku/>
              <w:overflowPunct/>
              <w:topLinePunct w:val="0"/>
              <w:bidi w:val="0"/>
              <w:spacing w:beforeAutospacing="0" w:after="0" w:afterAutospacing="0" w:line="240" w:lineRule="exact"/>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7、图案：1个旋转图案盘：7个自转图案+白光，具有变速抖动效果、双向变速流动效果</w:t>
            </w:r>
          </w:p>
          <w:p w14:paraId="6FB40193">
            <w:pPr>
              <w:keepNext w:val="0"/>
              <w:keepLines w:val="0"/>
              <w:pageBreakBefore w:val="0"/>
              <w:widowControl/>
              <w:kinsoku/>
              <w:overflowPunct/>
              <w:topLinePunct w:val="0"/>
              <w:bidi w:val="0"/>
              <w:spacing w:beforeAutospacing="0" w:after="0" w:afterAutospacing="0" w:line="240" w:lineRule="exact"/>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自转图案片可换。</w:t>
            </w:r>
          </w:p>
          <w:p w14:paraId="00383DD4">
            <w:pPr>
              <w:keepNext w:val="0"/>
              <w:keepLines w:val="0"/>
              <w:pageBreakBefore w:val="0"/>
              <w:widowControl/>
              <w:kinsoku/>
              <w:overflowPunct/>
              <w:topLinePunct w:val="0"/>
              <w:bidi w:val="0"/>
              <w:spacing w:beforeAutospacing="0" w:after="0" w:afterAutospacing="0" w:line="240" w:lineRule="exact"/>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8、棱镜：1个三棱镜，可双向旋转。可选配其它棱镜</w:t>
            </w:r>
          </w:p>
          <w:p w14:paraId="0E064148">
            <w:pPr>
              <w:keepNext w:val="0"/>
              <w:keepLines w:val="0"/>
              <w:pageBreakBefore w:val="0"/>
              <w:widowControl/>
              <w:kinsoku/>
              <w:overflowPunct/>
              <w:topLinePunct w:val="0"/>
              <w:bidi w:val="0"/>
              <w:spacing w:beforeAutospacing="0" w:after="0" w:afterAutospacing="0" w:line="240" w:lineRule="exact"/>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9、雾化：独立雾化染色效果</w:t>
            </w:r>
          </w:p>
          <w:p w14:paraId="54CB354B">
            <w:pPr>
              <w:keepNext w:val="0"/>
              <w:keepLines w:val="0"/>
              <w:pageBreakBefore w:val="0"/>
              <w:widowControl/>
              <w:kinsoku/>
              <w:overflowPunct/>
              <w:topLinePunct w:val="0"/>
              <w:bidi w:val="0"/>
              <w:spacing w:beforeAutospacing="0" w:after="0" w:afterAutospacing="0"/>
              <w:jc w:val="left"/>
              <w:textAlignment w:val="center"/>
              <w:rPr>
                <w:rFonts w:ascii="宋体" w:hAnsi="宋体" w:cs="宋体"/>
              </w:rPr>
            </w:pPr>
            <w:r>
              <w:rPr>
                <w:rFonts w:hint="eastAsia" w:ascii="宋体" w:hAnsi="宋体" w:cs="宋体"/>
                <w:color w:val="000000"/>
                <w:kern w:val="0"/>
                <w:sz w:val="22"/>
                <w:szCs w:val="22"/>
                <w:lang w:bidi="ar"/>
              </w:rPr>
              <w:t>10、光圈：5-100%线性调节，具有宏功能多效果变化</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D858A">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1</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257B5">
            <w:pPr>
              <w:keepNext w:val="0"/>
              <w:keepLines w:val="0"/>
              <w:pageBreakBefore w:val="0"/>
              <w:widowControl/>
              <w:kinsoku/>
              <w:overflowPunct/>
              <w:topLinePunct w:val="0"/>
              <w:bidi w:val="0"/>
              <w:spacing w:beforeAutospacing="0" w:after="0" w:afterAutospacing="0"/>
              <w:jc w:val="center"/>
              <w:textAlignment w:val="center"/>
              <w:rPr>
                <w:rFonts w:ascii="宋体" w:hAnsi="宋体" w:cs="宋体"/>
              </w:rPr>
            </w:pPr>
            <w:r>
              <w:rPr>
                <w:rFonts w:hint="eastAsia" w:ascii="宋体" w:hAnsi="宋体" w:cs="宋体"/>
              </w:rPr>
              <w:t>套</w:t>
            </w:r>
          </w:p>
        </w:tc>
      </w:tr>
    </w:tbl>
    <w:p w14:paraId="52DE9DC7">
      <w:pPr>
        <w:pStyle w:val="46"/>
        <w:keepNext w:val="0"/>
        <w:keepLines w:val="0"/>
        <w:pageBreakBefore w:val="0"/>
        <w:kinsoku/>
        <w:overflowPunct/>
        <w:topLinePunct w:val="0"/>
        <w:bidi w:val="0"/>
        <w:spacing w:beforeAutospacing="0" w:after="0" w:afterAutospacing="0"/>
        <w:ind w:firstLine="480"/>
        <w:rPr>
          <w:rFonts w:hint="eastAsia" w:ascii="宋体" w:hAnsi="宋体" w:cs="宋体"/>
          <w:highlight w:val="none"/>
        </w:rPr>
      </w:pPr>
      <w:r>
        <w:rPr>
          <w:rFonts w:hint="eastAsia" w:ascii="宋体" w:hAnsi="宋体" w:cs="宋体"/>
        </w:rPr>
        <w:t xml:space="preserve">2、投标人提供序号1、2、3、4、5、6、7 </w:t>
      </w:r>
      <w:r>
        <w:rPr>
          <w:rFonts w:hint="eastAsia" w:ascii="宋体" w:hAnsi="宋体" w:cs="宋体"/>
          <w:kern w:val="0"/>
          <w:lang w:bidi="ar"/>
        </w:rPr>
        <w:t>各1套，并提供对应的产品检测报告，</w:t>
      </w:r>
      <w:r>
        <w:rPr>
          <w:rFonts w:hint="eastAsia" w:ascii="宋体" w:hAnsi="宋体" w:cs="宋体"/>
          <w:kern w:val="0"/>
          <w:highlight w:val="none"/>
          <w:lang w:bidi="ar"/>
        </w:rPr>
        <w:t>同时提供存储演示视频的U盘一个。</w:t>
      </w:r>
    </w:p>
    <w:p w14:paraId="3DC56E35">
      <w:pPr>
        <w:pStyle w:val="46"/>
        <w:keepNext w:val="0"/>
        <w:keepLines w:val="0"/>
        <w:pageBreakBefore w:val="0"/>
        <w:kinsoku/>
        <w:overflowPunct/>
        <w:topLinePunct w:val="0"/>
        <w:bidi w:val="0"/>
        <w:spacing w:beforeAutospacing="0" w:after="0" w:afterAutospacing="0"/>
        <w:ind w:firstLine="480"/>
        <w:rPr>
          <w:rFonts w:ascii="宋体" w:hAnsi="宋体" w:cs="宋体"/>
        </w:rPr>
      </w:pPr>
      <w:r>
        <w:rPr>
          <w:rFonts w:hint="eastAsia" w:ascii="宋体" w:hAnsi="宋体" w:cs="宋体"/>
          <w:highlight w:val="none"/>
        </w:rPr>
        <w:t>3、请各投标人将样品及U盘用快递</w:t>
      </w:r>
      <w:r>
        <w:rPr>
          <w:rFonts w:hint="eastAsia" w:ascii="宋体" w:hAnsi="宋体" w:cs="宋体"/>
        </w:rPr>
        <w:t>邮寄或其他方式送至金华市金诚招投标代理有限公司，样品</w:t>
      </w:r>
      <w:r>
        <w:rPr>
          <w:rFonts w:hint="eastAsia" w:ascii="宋体" w:hAnsi="宋体" w:cs="宋体"/>
          <w:highlight w:val="none"/>
        </w:rPr>
        <w:t>及U盘</w:t>
      </w:r>
      <w:r>
        <w:rPr>
          <w:rFonts w:hint="eastAsia" w:ascii="宋体" w:hAnsi="宋体" w:cs="宋体"/>
        </w:rPr>
        <w:t>应于</w:t>
      </w:r>
      <w:r>
        <w:rPr>
          <w:rFonts w:hint="eastAsia" w:ascii="宋体" w:hAnsi="宋体" w:cs="宋体"/>
          <w:b/>
          <w:u w:val="single"/>
        </w:rPr>
        <w:t>2024年</w:t>
      </w:r>
      <w:r>
        <w:rPr>
          <w:rFonts w:hint="eastAsia" w:ascii="宋体" w:hAnsi="宋体" w:cs="宋体"/>
          <w:b/>
          <w:u w:val="single"/>
          <w:lang w:val="en-US" w:eastAsia="zh-CN"/>
        </w:rPr>
        <w:t>10</w:t>
      </w:r>
      <w:r>
        <w:rPr>
          <w:rFonts w:hint="eastAsia" w:ascii="宋体" w:hAnsi="宋体" w:cs="宋体"/>
          <w:b/>
          <w:u w:val="single"/>
        </w:rPr>
        <w:t>月</w:t>
      </w:r>
      <w:r>
        <w:rPr>
          <w:rFonts w:hint="eastAsia" w:ascii="宋体" w:hAnsi="宋体" w:cs="宋体"/>
          <w:b/>
          <w:u w:val="single"/>
          <w:lang w:val="en-US" w:eastAsia="zh-CN"/>
        </w:rPr>
        <w:t>8</w:t>
      </w:r>
      <w:r>
        <w:rPr>
          <w:rFonts w:hint="eastAsia" w:ascii="宋体" w:hAnsi="宋体" w:cs="宋体"/>
          <w:b/>
          <w:u w:val="single"/>
        </w:rPr>
        <w:t>日16时30分前</w:t>
      </w:r>
      <w:r>
        <w:rPr>
          <w:rFonts w:hint="eastAsia" w:ascii="宋体" w:hAnsi="宋体" w:cs="宋体"/>
        </w:rPr>
        <w:t>送达金华市金诚招投标代理有限公司（浙江省东阳市江北街道关山北路20号），逾期未送达的视为未提供样品</w:t>
      </w:r>
      <w:r>
        <w:rPr>
          <w:rFonts w:hint="eastAsia" w:ascii="宋体" w:hAnsi="宋体" w:cs="宋体"/>
          <w:highlight w:val="none"/>
        </w:rPr>
        <w:t>及U盘</w:t>
      </w:r>
      <w:r>
        <w:rPr>
          <w:rFonts w:hint="eastAsia" w:ascii="宋体" w:hAnsi="宋体" w:cs="宋体"/>
        </w:rPr>
        <w:t>实物。</w:t>
      </w:r>
    </w:p>
    <w:p w14:paraId="507DF0D7">
      <w:pPr>
        <w:pStyle w:val="46"/>
        <w:keepNext w:val="0"/>
        <w:keepLines w:val="0"/>
        <w:pageBreakBefore w:val="0"/>
        <w:kinsoku/>
        <w:overflowPunct/>
        <w:topLinePunct w:val="0"/>
        <w:bidi w:val="0"/>
        <w:spacing w:beforeAutospacing="0" w:after="0" w:afterAutospacing="0"/>
        <w:ind w:firstLine="480"/>
        <w:rPr>
          <w:rFonts w:ascii="宋体" w:hAnsi="宋体" w:cs="宋体"/>
        </w:rPr>
      </w:pPr>
      <w:r>
        <w:rPr>
          <w:rFonts w:hint="eastAsia" w:ascii="宋体" w:hAnsi="宋体" w:cs="宋体"/>
        </w:rPr>
        <w:t>4、未中标人样品可自行领回或快递寄回，邮寄费用以及快递过程中出现破损等问题由投标人自行承担。</w:t>
      </w:r>
    </w:p>
    <w:p w14:paraId="58F1452E">
      <w:pPr>
        <w:pStyle w:val="46"/>
        <w:keepNext w:val="0"/>
        <w:keepLines w:val="0"/>
        <w:pageBreakBefore w:val="0"/>
        <w:kinsoku/>
        <w:overflowPunct/>
        <w:topLinePunct w:val="0"/>
        <w:bidi w:val="0"/>
        <w:spacing w:beforeAutospacing="0" w:after="0" w:afterAutospacing="0"/>
        <w:ind w:firstLine="480"/>
        <w:rPr>
          <w:rFonts w:ascii="宋体" w:hAnsi="宋体" w:cs="宋体"/>
          <w:b/>
        </w:rPr>
      </w:pPr>
      <w:r>
        <w:rPr>
          <w:rFonts w:hint="eastAsia" w:ascii="宋体" w:hAnsi="宋体" w:cs="宋体"/>
        </w:rPr>
        <w:t>5、采购人对中标人的样品进行封存，与以后中标人所供产品进行对比。如出现所供产品与样品不符，采购人有权中止合同，并追究相应赔偿。</w:t>
      </w:r>
    </w:p>
    <w:p w14:paraId="277E9210">
      <w:pPr>
        <w:keepNext w:val="0"/>
        <w:keepLines w:val="0"/>
        <w:pageBreakBefore w:val="0"/>
        <w:kinsoku/>
        <w:overflowPunct/>
        <w:topLinePunct w:val="0"/>
        <w:bidi w:val="0"/>
        <w:spacing w:beforeAutospacing="0" w:after="0" w:afterAutospacing="0" w:line="360" w:lineRule="auto"/>
        <w:rPr>
          <w:rFonts w:ascii="宋体" w:hAnsi="宋体" w:cs="宋体"/>
          <w:b/>
          <w:bCs/>
          <w:sz w:val="24"/>
          <w:szCs w:val="24"/>
        </w:rPr>
      </w:pPr>
      <w:r>
        <w:rPr>
          <w:rFonts w:hint="eastAsia" w:ascii="宋体" w:hAnsi="宋体" w:cs="宋体"/>
          <w:b/>
          <w:sz w:val="24"/>
          <w:szCs w:val="24"/>
        </w:rPr>
        <w:t>四、</w:t>
      </w:r>
      <w:r>
        <w:rPr>
          <w:rFonts w:hint="eastAsia" w:ascii="宋体" w:hAnsi="宋体" w:cs="宋体"/>
          <w:b/>
          <w:bCs/>
          <w:sz w:val="24"/>
          <w:szCs w:val="24"/>
        </w:rPr>
        <w:t>交货安装期限及地点</w:t>
      </w:r>
    </w:p>
    <w:p w14:paraId="54B7DF17">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rPr>
      </w:pPr>
      <w:r>
        <w:rPr>
          <w:rFonts w:hint="eastAsia" w:ascii="宋体" w:hAnsi="宋体" w:cs="宋体"/>
          <w:sz w:val="24"/>
        </w:rPr>
        <w:t>接到采购人的交货安装指令后，</w:t>
      </w:r>
      <w:r>
        <w:rPr>
          <w:rFonts w:hint="eastAsia" w:ascii="宋体" w:hAnsi="宋体" w:cs="宋体"/>
          <w:sz w:val="24"/>
          <w:u w:val="single"/>
        </w:rPr>
        <w:t>60</w:t>
      </w:r>
      <w:r>
        <w:rPr>
          <w:rFonts w:hint="eastAsia" w:ascii="宋体" w:hAnsi="宋体" w:cs="宋体"/>
          <w:sz w:val="24"/>
        </w:rPr>
        <w:t>天内交货并安装调试完毕；交货安装地点为采购人指定。</w:t>
      </w:r>
    </w:p>
    <w:p w14:paraId="710AEF8B">
      <w:pPr>
        <w:keepNext w:val="0"/>
        <w:keepLines w:val="0"/>
        <w:pageBreakBefore w:val="0"/>
        <w:kinsoku/>
        <w:overflowPunct/>
        <w:topLinePunct w:val="0"/>
        <w:bidi w:val="0"/>
        <w:spacing w:beforeAutospacing="0" w:after="0" w:afterAutospacing="0" w:line="360" w:lineRule="auto"/>
        <w:rPr>
          <w:rFonts w:ascii="宋体" w:hAnsi="宋体" w:cs="宋体"/>
          <w:b/>
          <w:bCs/>
          <w:sz w:val="24"/>
          <w:szCs w:val="24"/>
        </w:rPr>
      </w:pPr>
      <w:r>
        <w:rPr>
          <w:rFonts w:hint="eastAsia" w:ascii="宋体" w:hAnsi="宋体" w:cs="宋体"/>
          <w:b/>
          <w:bCs/>
          <w:sz w:val="24"/>
          <w:szCs w:val="24"/>
        </w:rPr>
        <w:t>五、项目投标报价及其他商务要求</w:t>
      </w:r>
    </w:p>
    <w:p w14:paraId="10713401">
      <w:pPr>
        <w:keepNext w:val="0"/>
        <w:keepLines w:val="0"/>
        <w:pageBreakBefore w:val="0"/>
        <w:kinsoku/>
        <w:overflowPunct/>
        <w:topLinePunct w:val="0"/>
        <w:bidi w:val="0"/>
        <w:spacing w:beforeAutospacing="0" w:after="0" w:afterAutospacing="0" w:line="360" w:lineRule="auto"/>
        <w:ind w:firstLine="480" w:firstLineChars="200"/>
        <w:rPr>
          <w:rStyle w:val="55"/>
          <w:rFonts w:ascii="宋体" w:hAnsi="宋体" w:cs="宋体"/>
          <w:i w:val="0"/>
          <w:iCs w:val="0"/>
          <w:sz w:val="24"/>
        </w:rPr>
      </w:pPr>
      <w:r>
        <w:rPr>
          <w:rFonts w:hint="eastAsia" w:ascii="宋体" w:hAnsi="宋体" w:cs="宋体"/>
          <w:kern w:val="0"/>
          <w:sz w:val="24"/>
        </w:rPr>
        <w:t>1、本招标公告发布以后至供应商向用户供货期间，如投标产品已经停产，供应商提供的替代产品必须相当于或高于原产品的要求配置水平，该替代产品将需经用户及有关部门审核通过，否则将视作无效标。</w:t>
      </w:r>
    </w:p>
    <w:p w14:paraId="7B2D82EE">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rPr>
      </w:pPr>
      <w:r>
        <w:rPr>
          <w:rFonts w:hint="eastAsia" w:ascii="宋体" w:hAnsi="宋体" w:cs="宋体"/>
          <w:sz w:val="24"/>
        </w:rPr>
        <w:t>2、项目投标报价要求</w:t>
      </w:r>
    </w:p>
    <w:p w14:paraId="532D46B2">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本项目要求投标人根据本项目服务要求和企业自身条件合理确定投标报价。投标报价应当包括产品购置、</w:t>
      </w:r>
      <w:r>
        <w:rPr>
          <w:rFonts w:hint="eastAsia" w:ascii="宋体" w:hAnsi="宋体" w:cs="宋体"/>
          <w:sz w:val="24"/>
          <w:szCs w:val="24"/>
          <w:lang w:val="zh-CN"/>
        </w:rPr>
        <w:t>人员</w:t>
      </w:r>
      <w:r>
        <w:rPr>
          <w:rFonts w:hint="eastAsia" w:ascii="宋体" w:hAnsi="宋体" w:cs="宋体"/>
          <w:sz w:val="24"/>
          <w:szCs w:val="24"/>
        </w:rPr>
        <w:t>劳务</w:t>
      </w:r>
      <w:r>
        <w:rPr>
          <w:rFonts w:hint="eastAsia" w:ascii="宋体" w:hAnsi="宋体" w:cs="宋体"/>
          <w:sz w:val="24"/>
          <w:szCs w:val="24"/>
          <w:lang w:val="zh-CN"/>
        </w:rPr>
        <w:t>、材料消耗、</w:t>
      </w:r>
      <w:r>
        <w:rPr>
          <w:rFonts w:hint="eastAsia" w:ascii="宋体" w:hAnsi="宋体" w:cs="宋体"/>
          <w:sz w:val="24"/>
          <w:szCs w:val="24"/>
        </w:rPr>
        <w:t>方案评审、设备安装</w:t>
      </w:r>
      <w:r>
        <w:rPr>
          <w:rFonts w:hint="eastAsia" w:ascii="宋体" w:hAnsi="宋体" w:cs="宋体"/>
          <w:sz w:val="24"/>
          <w:szCs w:val="24"/>
          <w:lang w:val="zh-CN"/>
        </w:rPr>
        <w:t>、综合验收、</w:t>
      </w:r>
      <w:r>
        <w:rPr>
          <w:rFonts w:hint="eastAsia" w:ascii="宋体" w:hAnsi="宋体" w:cs="宋体"/>
          <w:sz w:val="24"/>
          <w:szCs w:val="24"/>
        </w:rPr>
        <w:t>售后服务、保险、税收等所有费用及安全措施费用，投标人应当预知本项目实施过程中可能会有的政策性文件规定和合同包含的所有风险，并承担相应的责任。投标报价为投标方所能承受的整个项目最终一次性报价，如有漏项，视同已包含在其它项目中，合同总价不做调整。</w:t>
      </w:r>
    </w:p>
    <w:p w14:paraId="7EE3E1F1">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rPr>
      </w:pPr>
      <w:r>
        <w:rPr>
          <w:rFonts w:hint="eastAsia" w:ascii="宋体" w:hAnsi="宋体" w:cs="宋体"/>
          <w:sz w:val="24"/>
        </w:rPr>
        <w:t>3、投标人应根据采购人所提供的采购清单，提交报价清单。项目实施前，中标人必须和采购人就采购清单中的采购安装内容作进一步确认，在实施过程中，如果采购人根据项目的实际，对项目内容作适当变更，中标单位应予以配合。</w:t>
      </w:r>
    </w:p>
    <w:p w14:paraId="0E05E9D0">
      <w:pPr>
        <w:keepNext w:val="0"/>
        <w:keepLines w:val="0"/>
        <w:pageBreakBefore w:val="0"/>
        <w:kinsoku/>
        <w:overflowPunct/>
        <w:topLinePunct w:val="0"/>
        <w:bidi w:val="0"/>
        <w:spacing w:beforeAutospacing="0" w:after="0" w:afterAutospacing="0" w:line="360" w:lineRule="auto"/>
        <w:rPr>
          <w:rFonts w:ascii="宋体" w:hAnsi="宋体" w:cs="宋体"/>
          <w:b/>
          <w:bCs/>
          <w:sz w:val="24"/>
          <w:szCs w:val="24"/>
        </w:rPr>
      </w:pPr>
      <w:r>
        <w:rPr>
          <w:rFonts w:hint="eastAsia" w:ascii="宋体" w:hAnsi="宋体" w:cs="宋体"/>
          <w:b/>
          <w:bCs/>
          <w:sz w:val="24"/>
          <w:szCs w:val="24"/>
        </w:rPr>
        <w:t>六、付款方式</w:t>
      </w:r>
    </w:p>
    <w:p w14:paraId="7B6DBFB8">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sz w:val="24"/>
          <w:szCs w:val="24"/>
        </w:rPr>
        <w:t>合同签订后，采购人根据需要中标人提供足额预付款保函（保函可在政采云平台线上申请），7个工作日内采购人付至合同价款的40%</w:t>
      </w:r>
      <w:r>
        <w:rPr>
          <w:rFonts w:hint="eastAsia" w:ascii="宋体" w:hAnsi="宋体" w:cs="宋体"/>
          <w:sz w:val="24"/>
          <w:szCs w:val="24"/>
        </w:rPr>
        <w:t>，项目结束经初步验收合格后</w:t>
      </w:r>
      <w:r>
        <w:rPr>
          <w:rFonts w:hint="eastAsia" w:ascii="宋体" w:hAnsi="宋体"/>
          <w:sz w:val="24"/>
          <w:szCs w:val="24"/>
        </w:rPr>
        <w:t>7个工作日内付至合同价款的95%，余款在</w:t>
      </w:r>
      <w:r>
        <w:rPr>
          <w:rFonts w:hint="eastAsia" w:ascii="宋体" w:hAnsi="宋体" w:cs="宋体"/>
          <w:sz w:val="24"/>
          <w:szCs w:val="24"/>
        </w:rPr>
        <w:t>项目正常运行12个月并终验合格后，</w:t>
      </w:r>
      <w:r>
        <w:rPr>
          <w:rFonts w:hint="eastAsia" w:ascii="宋体" w:hAnsi="宋体"/>
          <w:sz w:val="24"/>
          <w:szCs w:val="24"/>
        </w:rPr>
        <w:t>7个工作日内</w:t>
      </w:r>
      <w:r>
        <w:rPr>
          <w:rFonts w:hint="eastAsia" w:ascii="宋体" w:hAnsi="宋体" w:cs="宋体"/>
          <w:sz w:val="24"/>
          <w:szCs w:val="24"/>
        </w:rPr>
        <w:t>一次性付清。</w:t>
      </w:r>
    </w:p>
    <w:p w14:paraId="75C07E64">
      <w:pPr>
        <w:keepNext w:val="0"/>
        <w:keepLines w:val="0"/>
        <w:pageBreakBefore w:val="0"/>
        <w:kinsoku/>
        <w:overflowPunct/>
        <w:topLinePunct w:val="0"/>
        <w:bidi w:val="0"/>
        <w:spacing w:beforeAutospacing="0" w:after="0" w:afterAutospacing="0" w:line="360" w:lineRule="auto"/>
        <w:rPr>
          <w:rFonts w:ascii="宋体" w:hAnsi="宋体" w:cs="宋体"/>
          <w:b/>
          <w:bCs/>
          <w:sz w:val="24"/>
        </w:rPr>
      </w:pPr>
      <w:r>
        <w:rPr>
          <w:rFonts w:hint="eastAsia" w:ascii="宋体" w:hAnsi="宋体" w:cs="宋体"/>
          <w:b/>
          <w:bCs/>
          <w:sz w:val="24"/>
          <w:szCs w:val="24"/>
        </w:rPr>
        <w:t>七、</w:t>
      </w:r>
      <w:r>
        <w:rPr>
          <w:rFonts w:hint="eastAsia" w:ascii="宋体" w:hAnsi="宋体" w:cs="宋体"/>
          <w:b/>
          <w:bCs/>
          <w:sz w:val="24"/>
        </w:rPr>
        <w:t>售后服务及技术培训</w:t>
      </w:r>
    </w:p>
    <w:p w14:paraId="697DB561">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rPr>
      </w:pPr>
      <w:r>
        <w:rPr>
          <w:rFonts w:hint="eastAsia" w:ascii="宋体" w:hAnsi="宋体" w:cs="宋体"/>
          <w:sz w:val="24"/>
        </w:rPr>
        <w:t>1、本项目产品质量保证期为3年，质量保证期内发生的质量问题（包括设备缺陷），由中标人负责免费解决（因采购人使用不当或其他人为因素造成的故障除外）；</w:t>
      </w:r>
    </w:p>
    <w:p w14:paraId="779B847E">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rPr>
      </w:pPr>
      <w:r>
        <w:rPr>
          <w:rFonts w:hint="eastAsia" w:ascii="宋体" w:hAnsi="宋体" w:cs="宋体"/>
          <w:sz w:val="24"/>
        </w:rPr>
        <w:t>2、在质保期内提供7*24小时（不分节假日）技术支持热线电话（固话、手机）服务。如电话响应无法解决，则24小时内响应、48小时内修复。</w:t>
      </w:r>
    </w:p>
    <w:p w14:paraId="02EE56CC">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rPr>
      </w:pPr>
      <w:r>
        <w:rPr>
          <w:rFonts w:hint="eastAsia" w:ascii="宋体" w:hAnsi="宋体" w:cs="宋体"/>
          <w:sz w:val="24"/>
        </w:rPr>
        <w:t>3、投标人须提供关于产品质量保证承诺；免费保修期的承诺；免费保修期外的服务承诺；免费提供终身技术支持服务承诺。</w:t>
      </w:r>
    </w:p>
    <w:p w14:paraId="0BF3F05D">
      <w:pPr>
        <w:keepNext w:val="0"/>
        <w:keepLines w:val="0"/>
        <w:pageBreakBefore w:val="0"/>
        <w:kinsoku/>
        <w:overflowPunct/>
        <w:topLinePunct w:val="0"/>
        <w:bidi w:val="0"/>
        <w:spacing w:beforeAutospacing="0" w:after="0" w:afterAutospacing="0" w:line="360" w:lineRule="auto"/>
        <w:ind w:firstLine="480" w:firstLineChars="200"/>
        <w:rPr>
          <w:rFonts w:ascii="宋体"/>
          <w:sz w:val="24"/>
        </w:rPr>
      </w:pPr>
      <w:r>
        <w:rPr>
          <w:rFonts w:hint="eastAsia" w:ascii="宋体" w:hAnsi="宋体" w:cs="宋体"/>
          <w:sz w:val="24"/>
        </w:rPr>
        <w:t>4、中标人须派遣有经验的技术人员到采购人现场对采购人进行优质的培训服务，具体要求如下：</w:t>
      </w:r>
    </w:p>
    <w:p w14:paraId="2DC3A479">
      <w:pPr>
        <w:keepNext w:val="0"/>
        <w:keepLines w:val="0"/>
        <w:pageBreakBefore w:val="0"/>
        <w:kinsoku/>
        <w:overflowPunct/>
        <w:topLinePunct w:val="0"/>
        <w:bidi w:val="0"/>
        <w:spacing w:beforeAutospacing="0" w:after="0" w:afterAutospacing="0" w:line="360" w:lineRule="auto"/>
        <w:ind w:firstLine="480" w:firstLineChars="200"/>
        <w:jc w:val="left"/>
        <w:rPr>
          <w:rFonts w:ascii="宋体"/>
          <w:sz w:val="24"/>
        </w:rPr>
      </w:pPr>
      <w:r>
        <w:rPr>
          <w:rFonts w:hint="eastAsia" w:ascii="宋体" w:hAnsi="宋体" w:cs="宋体"/>
          <w:sz w:val="24"/>
        </w:rPr>
        <w:t>（1）对设备的使用、操作、维修进行免费培训，并提供安装使用维护说明书，培训所需一切资料由中标人免费提供。</w:t>
      </w:r>
    </w:p>
    <w:p w14:paraId="05A77FC3">
      <w:pPr>
        <w:keepNext w:val="0"/>
        <w:keepLines w:val="0"/>
        <w:pageBreakBefore w:val="0"/>
        <w:kinsoku/>
        <w:overflowPunct/>
        <w:topLinePunct w:val="0"/>
        <w:bidi w:val="0"/>
        <w:spacing w:beforeAutospacing="0" w:after="0" w:afterAutospacing="0" w:line="360" w:lineRule="auto"/>
        <w:ind w:firstLine="480" w:firstLineChars="200"/>
        <w:jc w:val="left"/>
        <w:rPr>
          <w:rFonts w:ascii="宋体"/>
          <w:sz w:val="24"/>
        </w:rPr>
      </w:pPr>
      <w:r>
        <w:rPr>
          <w:rFonts w:hint="eastAsia" w:ascii="宋体" w:hAnsi="宋体" w:cs="宋体"/>
          <w:sz w:val="24"/>
        </w:rPr>
        <w:t>（2）负责免费提供操作人员培训，培训人数不少于两人。</w:t>
      </w:r>
    </w:p>
    <w:p w14:paraId="565C4C02">
      <w:pPr>
        <w:keepNext w:val="0"/>
        <w:keepLines w:val="0"/>
        <w:pageBreakBefore w:val="0"/>
        <w:kinsoku/>
        <w:overflowPunct/>
        <w:topLinePunct w:val="0"/>
        <w:bidi w:val="0"/>
        <w:spacing w:beforeAutospacing="0" w:after="0" w:afterAutospacing="0" w:line="360" w:lineRule="auto"/>
        <w:ind w:firstLine="480" w:firstLineChars="200"/>
        <w:jc w:val="left"/>
        <w:rPr>
          <w:rFonts w:ascii="宋体"/>
          <w:sz w:val="24"/>
        </w:rPr>
      </w:pPr>
      <w:r>
        <w:rPr>
          <w:rFonts w:hint="eastAsia" w:ascii="宋体" w:hAnsi="宋体" w:cs="宋体"/>
          <w:sz w:val="24"/>
        </w:rPr>
        <w:t>（3）培训内容：确保用户能够对设备、系统有足够的了解和熟悉，能够独立进行设备、系统的日常运营、管理和维护，培训所需一切资料及费用由中标人免费提供。</w:t>
      </w:r>
    </w:p>
    <w:p w14:paraId="5215ADD6">
      <w:pPr>
        <w:keepNext w:val="0"/>
        <w:keepLines w:val="0"/>
        <w:pageBreakBefore w:val="0"/>
        <w:kinsoku/>
        <w:overflowPunct/>
        <w:topLinePunct w:val="0"/>
        <w:bidi w:val="0"/>
        <w:spacing w:beforeAutospacing="0" w:after="0" w:afterAutospacing="0" w:line="360" w:lineRule="auto"/>
        <w:rPr>
          <w:rFonts w:ascii="宋体" w:hAnsi="宋体"/>
          <w:b/>
          <w:bCs/>
          <w:sz w:val="24"/>
        </w:rPr>
      </w:pPr>
      <w:r>
        <w:rPr>
          <w:rFonts w:hint="eastAsia" w:ascii="宋体" w:hAnsi="宋体"/>
          <w:b/>
          <w:bCs/>
          <w:sz w:val="24"/>
        </w:rPr>
        <w:t>八、验收标准</w:t>
      </w:r>
    </w:p>
    <w:p w14:paraId="5ACD4E2A">
      <w:pPr>
        <w:keepNext w:val="0"/>
        <w:keepLines w:val="0"/>
        <w:pageBreakBefore w:val="0"/>
        <w:kinsoku/>
        <w:overflowPunct/>
        <w:topLinePunct w:val="0"/>
        <w:bidi w:val="0"/>
        <w:spacing w:beforeAutospacing="0" w:after="0" w:afterAutospacing="0" w:line="360" w:lineRule="auto"/>
        <w:ind w:firstLine="480" w:firstLineChars="200"/>
        <w:rPr>
          <w:rFonts w:ascii="宋体" w:hAnsi="宋体"/>
          <w:color w:val="0D0D0D"/>
          <w:sz w:val="24"/>
        </w:rPr>
      </w:pPr>
      <w:r>
        <w:rPr>
          <w:rFonts w:hint="eastAsia" w:ascii="宋体" w:hAnsi="宋体"/>
          <w:color w:val="0D0D0D"/>
          <w:sz w:val="24"/>
        </w:rPr>
        <w:t>根据中华人民共和国现行技术标准，按招标文件以及合同规定的验收评定标准等规范，</w:t>
      </w:r>
      <w:r>
        <w:rPr>
          <w:rFonts w:hint="eastAsia" w:ascii="宋体" w:hAnsi="宋体"/>
          <w:b/>
          <w:sz w:val="24"/>
        </w:rPr>
        <w:t>由用户组织验收。</w:t>
      </w:r>
    </w:p>
    <w:p w14:paraId="1D201284">
      <w:pPr>
        <w:keepNext w:val="0"/>
        <w:keepLines w:val="0"/>
        <w:pageBreakBefore w:val="0"/>
        <w:kinsoku/>
        <w:overflowPunct/>
        <w:topLinePunct w:val="0"/>
        <w:bidi w:val="0"/>
        <w:spacing w:beforeAutospacing="0" w:after="0" w:afterAutospacing="0" w:line="360" w:lineRule="auto"/>
        <w:ind w:firstLine="480" w:firstLineChars="200"/>
        <w:rPr>
          <w:rFonts w:ascii="宋体" w:hAnsi="宋体"/>
          <w:b/>
          <w:color w:val="0D0D0D"/>
          <w:sz w:val="24"/>
        </w:rPr>
      </w:pPr>
      <w:r>
        <w:rPr>
          <w:rFonts w:hint="eastAsia" w:ascii="宋体" w:hAnsi="宋体"/>
          <w:color w:val="0D0D0D"/>
          <w:sz w:val="24"/>
        </w:rPr>
        <w:t>用户对货物验收合格后，双方共同签署验收合格证书，验收中发现货物达不到验收标准或合同规定的性能指标，中标方必须免费更换，并且赔偿由此给用户造成的损失，直到验收合格为止。</w:t>
      </w:r>
      <w:r>
        <w:rPr>
          <w:rFonts w:hint="eastAsia" w:ascii="宋体" w:hAnsi="宋体"/>
          <w:b/>
          <w:color w:val="0D0D0D"/>
          <w:sz w:val="24"/>
        </w:rPr>
        <w:t>项目验收合格后的验收报告，</w:t>
      </w:r>
      <w:r>
        <w:rPr>
          <w:rFonts w:hint="eastAsia" w:ascii="宋体" w:hAnsi="宋体"/>
          <w:b/>
          <w:sz w:val="24"/>
        </w:rPr>
        <w:t>代理机构按规定</w:t>
      </w:r>
      <w:r>
        <w:rPr>
          <w:rFonts w:hint="eastAsia" w:ascii="宋体" w:hAnsi="宋体"/>
          <w:b/>
          <w:color w:val="0D0D0D"/>
          <w:sz w:val="24"/>
        </w:rPr>
        <w:t>备案存查，验收费用由中标单位支付。验收表格见附件6。</w:t>
      </w:r>
    </w:p>
    <w:p w14:paraId="1932A21F">
      <w:pPr>
        <w:keepNext w:val="0"/>
        <w:keepLines w:val="0"/>
        <w:pageBreakBefore w:val="0"/>
        <w:kinsoku/>
        <w:overflowPunct/>
        <w:topLinePunct w:val="0"/>
        <w:bidi w:val="0"/>
        <w:spacing w:beforeAutospacing="0" w:after="0" w:afterAutospacing="0" w:line="360" w:lineRule="auto"/>
        <w:rPr>
          <w:rFonts w:ascii="宋体" w:hAnsi="宋体"/>
          <w:b/>
          <w:bCs/>
          <w:sz w:val="24"/>
        </w:rPr>
      </w:pPr>
      <w:r>
        <w:rPr>
          <w:rFonts w:hint="eastAsia" w:ascii="宋体" w:hAnsi="宋体"/>
          <w:b/>
          <w:bCs/>
          <w:sz w:val="24"/>
        </w:rPr>
        <w:t>九、其他</w:t>
      </w:r>
    </w:p>
    <w:p w14:paraId="3EDBE468">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1、中标人应为其工作人员购买必要的人身保险，在项目实施的整个过程中，要注意安全生产，项目实施期间发生的所有安全责任及意外事故，由中标单位负全部责任。</w:t>
      </w:r>
    </w:p>
    <w:p w14:paraId="350B0A10">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color w:val="FF0000"/>
        </w:rPr>
      </w:pPr>
      <w:r>
        <w:rPr>
          <w:rFonts w:hint="eastAsia" w:hAnsi="宋体"/>
        </w:rPr>
        <w:t>2、招投标双方应分别为对方在招标文件和投标文件中涉及的商业和技术等秘密保密，违者应对由此造成的后果承担责任。</w:t>
      </w:r>
    </w:p>
    <w:p w14:paraId="04CBE1A5">
      <w:pPr>
        <w:keepNext w:val="0"/>
        <w:keepLines w:val="0"/>
        <w:pageBreakBefore w:val="0"/>
        <w:kinsoku/>
        <w:overflowPunct/>
        <w:topLinePunct w:val="0"/>
        <w:bidi w:val="0"/>
        <w:spacing w:beforeAutospacing="0" w:after="0" w:afterAutospacing="0"/>
        <w:rPr>
          <w:rFonts w:ascii="宋体" w:hAnsi="宋体" w:cs="宋体"/>
          <w:b/>
          <w:bCs/>
          <w:color w:val="0D0D0D"/>
          <w:sz w:val="36"/>
          <w:szCs w:val="36"/>
        </w:rPr>
      </w:pPr>
      <w:r>
        <w:rPr>
          <w:rFonts w:hint="eastAsia" w:ascii="宋体" w:hAnsi="宋体" w:cs="宋体"/>
          <w:b/>
          <w:bCs/>
          <w:color w:val="0D0D0D"/>
          <w:sz w:val="36"/>
          <w:szCs w:val="36"/>
        </w:rPr>
        <w:br w:type="page"/>
      </w:r>
    </w:p>
    <w:p w14:paraId="030B39FE">
      <w:pPr>
        <w:pStyle w:val="66"/>
        <w:keepNext w:val="0"/>
        <w:keepLines w:val="0"/>
        <w:pageBreakBefore w:val="0"/>
        <w:kinsoku/>
        <w:overflowPunct/>
        <w:topLinePunct w:val="0"/>
        <w:bidi w:val="0"/>
        <w:spacing w:beforeAutospacing="0" w:after="0" w:afterAutospacing="0" w:line="360" w:lineRule="auto"/>
        <w:ind w:firstLine="0" w:firstLineChars="0"/>
        <w:jc w:val="center"/>
        <w:outlineLvl w:val="0"/>
        <w:rPr>
          <w:rFonts w:ascii="宋体"/>
          <w:b/>
          <w:bCs/>
          <w:color w:val="0D0D0D"/>
          <w:sz w:val="36"/>
          <w:szCs w:val="36"/>
        </w:rPr>
      </w:pPr>
      <w:r>
        <w:rPr>
          <w:rFonts w:hint="eastAsia" w:ascii="宋体" w:hAnsi="宋体" w:cs="宋体"/>
          <w:b/>
          <w:bCs/>
          <w:color w:val="0D0D0D"/>
          <w:sz w:val="36"/>
          <w:szCs w:val="36"/>
        </w:rPr>
        <w:t>第三章  投标人须知</w:t>
      </w:r>
    </w:p>
    <w:p w14:paraId="2EFF7A49">
      <w:pPr>
        <w:keepNext w:val="0"/>
        <w:keepLines w:val="0"/>
        <w:pageBreakBefore w:val="0"/>
        <w:kinsoku/>
        <w:overflowPunct/>
        <w:topLinePunct w:val="0"/>
        <w:bidi w:val="0"/>
        <w:snapToGrid w:val="0"/>
        <w:spacing w:beforeAutospacing="0" w:after="0" w:afterAutospacing="0"/>
        <w:jc w:val="right"/>
        <w:outlineLvl w:val="1"/>
        <w:rPr>
          <w:rFonts w:ascii="宋体"/>
          <w:color w:val="0D0D0D"/>
          <w:sz w:val="24"/>
          <w:szCs w:val="24"/>
        </w:rPr>
      </w:pPr>
      <w:r>
        <w:rPr>
          <w:rFonts w:hint="eastAsia" w:ascii="宋体" w:hAnsi="宋体" w:cs="宋体"/>
          <w:color w:val="0D0D0D"/>
          <w:sz w:val="24"/>
          <w:szCs w:val="24"/>
        </w:rPr>
        <w:t>前附表</w:t>
      </w:r>
    </w:p>
    <w:tbl>
      <w:tblPr>
        <w:tblStyle w:val="49"/>
        <w:tblW w:w="9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8490"/>
      </w:tblGrid>
      <w:tr w14:paraId="2949BB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23B1EC55">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color w:val="0D0D0D"/>
                <w:sz w:val="24"/>
                <w:szCs w:val="24"/>
              </w:rPr>
              <w:t>序号</w:t>
            </w:r>
          </w:p>
        </w:tc>
        <w:tc>
          <w:tcPr>
            <w:tcW w:w="8490" w:type="dxa"/>
            <w:tcBorders>
              <w:top w:val="single" w:color="auto" w:sz="4" w:space="0"/>
              <w:left w:val="single" w:color="auto" w:sz="4" w:space="0"/>
              <w:bottom w:val="single" w:color="auto" w:sz="4" w:space="0"/>
            </w:tcBorders>
            <w:vAlign w:val="center"/>
          </w:tcPr>
          <w:p w14:paraId="7E155822">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color w:val="0D0D0D"/>
                <w:sz w:val="24"/>
                <w:szCs w:val="24"/>
              </w:rPr>
              <w:t>内容、要求</w:t>
            </w:r>
          </w:p>
        </w:tc>
      </w:tr>
      <w:tr w14:paraId="764F1E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24A23BA3">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color w:val="0D0D0D"/>
                <w:sz w:val="24"/>
                <w:szCs w:val="24"/>
              </w:rPr>
              <w:t>1</w:t>
            </w:r>
          </w:p>
        </w:tc>
        <w:tc>
          <w:tcPr>
            <w:tcW w:w="8490" w:type="dxa"/>
            <w:tcBorders>
              <w:top w:val="single" w:color="auto" w:sz="4" w:space="0"/>
              <w:left w:val="single" w:color="auto" w:sz="4" w:space="0"/>
              <w:bottom w:val="single" w:color="auto" w:sz="4" w:space="0"/>
            </w:tcBorders>
            <w:vAlign w:val="center"/>
          </w:tcPr>
          <w:p w14:paraId="6A6538DB">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color w:val="0D0D0D"/>
                <w:sz w:val="24"/>
                <w:szCs w:val="24"/>
              </w:rPr>
              <w:t>项目名称：</w:t>
            </w:r>
            <w:r>
              <w:rPr>
                <w:rFonts w:hint="eastAsia" w:ascii="宋体" w:hAnsi="宋体" w:cs="宋体"/>
                <w:color w:val="000000"/>
                <w:sz w:val="24"/>
                <w:szCs w:val="24"/>
              </w:rPr>
              <w:t>东阳剧院舞台灯光系统建设更新项目</w:t>
            </w:r>
          </w:p>
        </w:tc>
      </w:tr>
      <w:tr w14:paraId="588A8F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175B8BBE">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color w:val="0D0D0D"/>
                <w:sz w:val="24"/>
                <w:szCs w:val="24"/>
              </w:rPr>
              <w:t>2</w:t>
            </w:r>
          </w:p>
        </w:tc>
        <w:tc>
          <w:tcPr>
            <w:tcW w:w="8490" w:type="dxa"/>
            <w:tcBorders>
              <w:top w:val="single" w:color="auto" w:sz="4" w:space="0"/>
              <w:left w:val="single" w:color="auto" w:sz="4" w:space="0"/>
              <w:bottom w:val="single" w:color="auto" w:sz="4" w:space="0"/>
            </w:tcBorders>
            <w:vAlign w:val="center"/>
          </w:tcPr>
          <w:p w14:paraId="73B6DA10">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color w:val="0D0D0D"/>
                <w:sz w:val="24"/>
                <w:szCs w:val="24"/>
              </w:rPr>
              <w:t>投标报价及费用：</w:t>
            </w:r>
          </w:p>
          <w:p w14:paraId="1DDF2D95">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color w:val="0D0D0D"/>
                <w:sz w:val="24"/>
                <w:szCs w:val="24"/>
              </w:rPr>
              <w:t>1、本项目投标应以人民币报价。</w:t>
            </w:r>
          </w:p>
          <w:p w14:paraId="6293D608">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color w:val="0D0D0D"/>
                <w:sz w:val="24"/>
                <w:szCs w:val="24"/>
              </w:rPr>
              <w:t>▲</w:t>
            </w:r>
            <w:r>
              <w:rPr>
                <w:rFonts w:hint="eastAsia" w:ascii="宋体" w:hAnsi="宋体" w:cs="宋体"/>
                <w:b/>
                <w:bCs/>
                <w:color w:val="0D0D0D"/>
                <w:sz w:val="24"/>
                <w:szCs w:val="24"/>
              </w:rPr>
              <w:t>2、</w:t>
            </w:r>
            <w:r>
              <w:rPr>
                <w:rFonts w:hint="eastAsia" w:ascii="宋体" w:hAnsi="宋体" w:cs="宋体"/>
                <w:b/>
                <w:sz w:val="24"/>
              </w:rPr>
              <w:t>本项目最高限价为预算金额。</w:t>
            </w:r>
            <w:r>
              <w:rPr>
                <w:rFonts w:hint="eastAsia" w:ascii="宋体" w:hAnsi="宋体" w:cs="宋体"/>
                <w:color w:val="0D0D0D"/>
                <w:sz w:val="24"/>
                <w:szCs w:val="24"/>
              </w:rPr>
              <w:t>投标单位必须按招标需求的要求报价，并且报价不得高于或等于最高限价，否则作废标处理。</w:t>
            </w:r>
          </w:p>
          <w:p w14:paraId="576703D1">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color w:val="0D0D0D"/>
                <w:sz w:val="24"/>
                <w:szCs w:val="24"/>
              </w:rPr>
              <w:t>3、不论投标结果如何，投标人均应自行承担所有与投标有关的全部费用。</w:t>
            </w:r>
          </w:p>
        </w:tc>
      </w:tr>
      <w:tr w14:paraId="1AB50F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1D6878E3">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color w:val="0D0D0D"/>
                <w:sz w:val="24"/>
                <w:szCs w:val="24"/>
              </w:rPr>
              <w:t>3</w:t>
            </w:r>
          </w:p>
        </w:tc>
        <w:tc>
          <w:tcPr>
            <w:tcW w:w="8490" w:type="dxa"/>
            <w:tcBorders>
              <w:top w:val="single" w:color="auto" w:sz="4" w:space="0"/>
              <w:left w:val="single" w:color="auto" w:sz="4" w:space="0"/>
              <w:bottom w:val="single" w:color="auto" w:sz="4" w:space="0"/>
            </w:tcBorders>
            <w:vAlign w:val="center"/>
          </w:tcPr>
          <w:p w14:paraId="04ACFBE3">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sz w:val="24"/>
                <w:szCs w:val="24"/>
              </w:rPr>
              <w:t>答疑与澄清：投标人如认为招标文件表述不清晰、存在歧视性、排他性或者其他违法内容，应当于</w:t>
            </w:r>
            <w:r>
              <w:rPr>
                <w:rFonts w:hint="eastAsia" w:ascii="宋体" w:hAnsi="宋体" w:cs="宋体"/>
                <w:color w:val="0D0D0D"/>
                <w:sz w:val="24"/>
              </w:rPr>
              <w:t>2024年</w:t>
            </w:r>
            <w:r>
              <w:rPr>
                <w:rFonts w:hint="eastAsia" w:ascii="宋体" w:hAnsi="宋体" w:cs="宋体"/>
                <w:color w:val="0D0D0D"/>
                <w:sz w:val="24"/>
                <w:lang w:val="en-US" w:eastAsia="zh-CN"/>
              </w:rPr>
              <w:t>10</w:t>
            </w:r>
            <w:r>
              <w:rPr>
                <w:rFonts w:hint="eastAsia" w:ascii="宋体" w:hAnsi="宋体" w:cs="宋体"/>
                <w:color w:val="0D0D0D"/>
                <w:sz w:val="24"/>
              </w:rPr>
              <w:t>月</w:t>
            </w:r>
            <w:r>
              <w:rPr>
                <w:rFonts w:hint="eastAsia" w:ascii="宋体" w:hAnsi="宋体" w:cs="宋体"/>
                <w:color w:val="0D0D0D"/>
                <w:sz w:val="24"/>
                <w:lang w:val="en-US" w:eastAsia="zh-CN"/>
              </w:rPr>
              <w:t>8</w:t>
            </w:r>
            <w:r>
              <w:rPr>
                <w:rFonts w:hint="eastAsia" w:ascii="宋体" w:hAnsi="宋体" w:cs="宋体"/>
                <w:color w:val="0D0D0D"/>
                <w:sz w:val="24"/>
              </w:rPr>
              <w:t>日</w:t>
            </w:r>
            <w:r>
              <w:rPr>
                <w:rFonts w:ascii="宋体" w:hAnsi="宋体" w:cs="宋体"/>
                <w:color w:val="0D0D0D"/>
                <w:sz w:val="24"/>
              </w:rPr>
              <w:t>1</w:t>
            </w:r>
            <w:r>
              <w:rPr>
                <w:rFonts w:hint="eastAsia" w:ascii="宋体" w:hAnsi="宋体" w:cs="宋体"/>
                <w:color w:val="0D0D0D"/>
                <w:sz w:val="24"/>
              </w:rPr>
              <w:t>7</w:t>
            </w:r>
            <w:r>
              <w:rPr>
                <w:rFonts w:ascii="宋体" w:hAnsi="宋体" w:cs="宋体"/>
                <w:color w:val="0D0D0D"/>
                <w:sz w:val="24"/>
              </w:rPr>
              <w:t>:00</w:t>
            </w:r>
            <w:r>
              <w:rPr>
                <w:rFonts w:hint="eastAsia" w:ascii="宋体" w:hAnsi="宋体" w:cs="宋体"/>
                <w:color w:val="0D0D0D"/>
                <w:sz w:val="24"/>
              </w:rPr>
              <w:t>前</w:t>
            </w:r>
            <w:r>
              <w:rPr>
                <w:rFonts w:hint="eastAsia" w:ascii="宋体" w:hAnsi="宋体" w:cs="宋体"/>
                <w:sz w:val="24"/>
                <w:szCs w:val="24"/>
              </w:rPr>
              <w:t>，以书面形式要求招标采购单位作出书面解释、澄清或者向招标采购单位提出书面质疑（超过此规定时间的质疑函将不予受理）。答疑内容将于投标截止日期5天前以网上发布公告的形式通知；如果答疑、澄清或修改的内容可能影响投标文件编制，招标采购单位将于投标截止日期15天前以网上公告的形式通知所有已报名的投标人，答疑内容是招标文件的组成部分。</w:t>
            </w:r>
          </w:p>
        </w:tc>
      </w:tr>
      <w:tr w14:paraId="69BD36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4776E6F9">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color w:val="0D0D0D"/>
                <w:sz w:val="24"/>
                <w:szCs w:val="24"/>
              </w:rPr>
              <w:t>4</w:t>
            </w:r>
          </w:p>
        </w:tc>
        <w:tc>
          <w:tcPr>
            <w:tcW w:w="8490" w:type="dxa"/>
            <w:tcBorders>
              <w:top w:val="single" w:color="auto" w:sz="4" w:space="0"/>
              <w:left w:val="single" w:color="auto" w:sz="4" w:space="0"/>
              <w:bottom w:val="single" w:color="auto" w:sz="4" w:space="0"/>
            </w:tcBorders>
            <w:vAlign w:val="center"/>
          </w:tcPr>
          <w:p w14:paraId="01C15AA9">
            <w:pPr>
              <w:keepNext w:val="0"/>
              <w:keepLines w:val="0"/>
              <w:pageBreakBefore w:val="0"/>
              <w:kinsoku/>
              <w:overflowPunct/>
              <w:topLinePunct w:val="0"/>
              <w:autoSpaceDE w:val="0"/>
              <w:autoSpaceDN w:val="0"/>
              <w:bidi w:val="0"/>
              <w:snapToGrid w:val="0"/>
              <w:spacing w:beforeAutospacing="0" w:after="0" w:afterAutospacing="0" w:line="400" w:lineRule="atLeast"/>
              <w:textAlignment w:val="bottom"/>
              <w:rPr>
                <w:rFonts w:ascii="宋体" w:hAnsi="宋体" w:cs="宋体"/>
                <w:sz w:val="24"/>
                <w:szCs w:val="24"/>
              </w:rPr>
            </w:pPr>
            <w:r>
              <w:rPr>
                <w:rFonts w:hint="eastAsia" w:ascii="宋体" w:hAnsi="宋体" w:cs="宋体"/>
                <w:sz w:val="24"/>
                <w:szCs w:val="24"/>
              </w:rPr>
              <w:t>投标文件组成：▲1、本项目实行“网上投标、电子评标”，投标人应于投标截止时间前在“政采云”（电子交易平台）上传输、递交电子版投标文件（包括资格审查文件、商务技术文件和报价文件）；</w:t>
            </w:r>
          </w:p>
          <w:p w14:paraId="41D6714A">
            <w:pPr>
              <w:keepNext w:val="0"/>
              <w:keepLines w:val="0"/>
              <w:pageBreakBefore w:val="0"/>
              <w:numPr>
                <w:ilvl w:val="255"/>
                <w:numId w:val="0"/>
              </w:numPr>
              <w:kinsoku/>
              <w:overflowPunct/>
              <w:topLinePunct w:val="0"/>
              <w:autoSpaceDE w:val="0"/>
              <w:autoSpaceDN w:val="0"/>
              <w:bidi w:val="0"/>
              <w:snapToGrid w:val="0"/>
              <w:spacing w:beforeAutospacing="0" w:after="0" w:afterAutospacing="0" w:line="400" w:lineRule="atLeast"/>
              <w:textAlignment w:val="bottom"/>
              <w:rPr>
                <w:rFonts w:ascii="宋体" w:hAnsi="宋体" w:cs="宋体"/>
                <w:sz w:val="24"/>
                <w:szCs w:val="24"/>
              </w:rPr>
            </w:pPr>
            <w:r>
              <w:rPr>
                <w:rFonts w:hint="eastAsia" w:ascii="宋体" w:hAnsi="宋体" w:cs="宋体"/>
                <w:sz w:val="24"/>
                <w:szCs w:val="24"/>
              </w:rPr>
              <w:t>2、为了避免由于电子交易平台无法正常运行等技术、安全故障原因造成投标文件无法解密或解密失败，导致投标无效的情况，投标人可以在投标截止时间前将电子备份投标文件（经政采云电子交易客户端和CA驱动制作出的后缀名为“bfbs”的加密电子备份投标文件）发送至金华市金诚招投标代理有限公司邮箱：284875264@qq.com，逾期发送或发错后缀名的备份投标文件将被视为无效；</w:t>
            </w:r>
          </w:p>
          <w:p w14:paraId="3D7B0A05">
            <w:pPr>
              <w:keepNext w:val="0"/>
              <w:keepLines w:val="0"/>
              <w:pageBreakBefore w:val="0"/>
              <w:kinsoku/>
              <w:overflowPunct/>
              <w:topLinePunct w:val="0"/>
              <w:autoSpaceDE w:val="0"/>
              <w:autoSpaceDN w:val="0"/>
              <w:bidi w:val="0"/>
              <w:snapToGrid w:val="0"/>
              <w:spacing w:beforeAutospacing="0" w:after="0" w:afterAutospacing="0" w:line="400" w:lineRule="atLeast"/>
              <w:textAlignment w:val="bottom"/>
              <w:rPr>
                <w:rFonts w:ascii="宋体" w:hAnsi="宋体" w:cs="宋体"/>
                <w:sz w:val="24"/>
                <w:szCs w:val="24"/>
              </w:rPr>
            </w:pPr>
            <w:r>
              <w:rPr>
                <w:rFonts w:hint="eastAsia" w:ascii="宋体" w:hAnsi="宋体" w:cs="宋体"/>
                <w:sz w:val="24"/>
                <w:szCs w:val="24"/>
              </w:rPr>
              <w:t>3、投标人仅提交电子备份投标文件的，投标无效；</w:t>
            </w:r>
          </w:p>
          <w:p w14:paraId="64B09445">
            <w:pPr>
              <w:keepNext w:val="0"/>
              <w:keepLines w:val="0"/>
              <w:pageBreakBefore w:val="0"/>
              <w:kinsoku/>
              <w:overflowPunct/>
              <w:topLinePunct w:val="0"/>
              <w:autoSpaceDE w:val="0"/>
              <w:autoSpaceDN w:val="0"/>
              <w:bidi w:val="0"/>
              <w:snapToGrid w:val="0"/>
              <w:spacing w:beforeAutospacing="0" w:after="0" w:afterAutospacing="0" w:line="400" w:lineRule="atLeast"/>
              <w:textAlignment w:val="bottom"/>
              <w:rPr>
                <w:rFonts w:ascii="宋体" w:hAnsi="宋体" w:cs="宋体"/>
                <w:sz w:val="24"/>
                <w:szCs w:val="24"/>
              </w:rPr>
            </w:pPr>
            <w:r>
              <w:rPr>
                <w:rFonts w:hint="eastAsia" w:ascii="宋体" w:hAnsi="宋体" w:cs="宋体"/>
                <w:sz w:val="24"/>
                <w:szCs w:val="24"/>
              </w:rPr>
              <w:t>4、本项目不强制投标人提交电子备份投标文件；如在开评标时出现电子投标文件无法解密或解密失败等情况，因投标人未提供电子备份投标文件而造成投标无效等一切后果和风险由投标人自行承担。</w:t>
            </w:r>
          </w:p>
        </w:tc>
      </w:tr>
      <w:tr w14:paraId="2E9A1A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2509ACE1">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sz w:val="24"/>
                <w:szCs w:val="24"/>
              </w:rPr>
              <w:t>5</w:t>
            </w:r>
          </w:p>
        </w:tc>
        <w:tc>
          <w:tcPr>
            <w:tcW w:w="8490" w:type="dxa"/>
            <w:tcBorders>
              <w:top w:val="single" w:color="auto" w:sz="4" w:space="0"/>
              <w:left w:val="single" w:color="auto" w:sz="4" w:space="0"/>
              <w:bottom w:val="single" w:color="auto" w:sz="4" w:space="0"/>
            </w:tcBorders>
            <w:vAlign w:val="center"/>
          </w:tcPr>
          <w:p w14:paraId="377D4844">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szCs w:val="24"/>
              </w:rPr>
              <w:t>投标截止时间及地点：</w:t>
            </w:r>
          </w:p>
          <w:p w14:paraId="50956520">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szCs w:val="24"/>
              </w:rPr>
              <w:t>1、投标人应当在</w:t>
            </w:r>
            <w:r>
              <w:rPr>
                <w:rFonts w:hint="eastAsia" w:ascii="宋体" w:hAnsi="宋体" w:cs="宋体"/>
                <w:color w:val="0D0D0D"/>
                <w:sz w:val="24"/>
              </w:rPr>
              <w:t>2024年</w:t>
            </w:r>
            <w:r>
              <w:rPr>
                <w:rFonts w:hint="eastAsia" w:ascii="宋体" w:hAnsi="宋体" w:cs="宋体"/>
                <w:color w:val="0D0D0D"/>
                <w:sz w:val="24"/>
                <w:lang w:val="en-US" w:eastAsia="zh-CN"/>
              </w:rPr>
              <w:t>10</w:t>
            </w:r>
            <w:r>
              <w:rPr>
                <w:rFonts w:hint="eastAsia" w:ascii="宋体" w:hAnsi="宋体" w:cs="宋体"/>
                <w:color w:val="0D0D0D"/>
                <w:sz w:val="24"/>
              </w:rPr>
              <w:t>月</w:t>
            </w:r>
            <w:r>
              <w:rPr>
                <w:rFonts w:hint="eastAsia" w:ascii="宋体" w:hAnsi="宋体" w:cs="宋体"/>
                <w:color w:val="0D0D0D"/>
                <w:sz w:val="24"/>
                <w:lang w:val="en-US" w:eastAsia="zh-CN"/>
              </w:rPr>
              <w:t>9</w:t>
            </w:r>
            <w:r>
              <w:rPr>
                <w:rFonts w:hint="eastAsia" w:ascii="宋体" w:hAnsi="宋体" w:cs="宋体"/>
                <w:color w:val="0D0D0D"/>
                <w:sz w:val="24"/>
              </w:rPr>
              <w:t>日08</w:t>
            </w:r>
            <w:r>
              <w:rPr>
                <w:rFonts w:hint="eastAsia" w:ascii="宋体" w:hAnsi="宋体" w:cs="宋体"/>
                <w:sz w:val="24"/>
                <w:szCs w:val="24"/>
              </w:rPr>
              <w:t>时30分前在“政采云”（电子交易平台）上自行上传加密的电子投标文件。投标截止时间后递交的电子投标文件，将被政采云平台拒收。</w:t>
            </w:r>
          </w:p>
          <w:p w14:paraId="32139DC8">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szCs w:val="24"/>
              </w:rPr>
              <w:t>2、电子备份投标文件的递交时间：投标人应当在</w:t>
            </w:r>
            <w:r>
              <w:rPr>
                <w:rFonts w:hint="eastAsia" w:ascii="宋体" w:hAnsi="宋体" w:cs="宋体"/>
                <w:color w:val="0D0D0D"/>
                <w:sz w:val="24"/>
              </w:rPr>
              <w:t>2024年</w:t>
            </w:r>
            <w:r>
              <w:rPr>
                <w:rFonts w:hint="eastAsia" w:ascii="宋体" w:hAnsi="宋体" w:cs="宋体"/>
                <w:color w:val="0D0D0D"/>
                <w:sz w:val="24"/>
                <w:lang w:val="en-US" w:eastAsia="zh-CN"/>
              </w:rPr>
              <w:t>10</w:t>
            </w:r>
            <w:r>
              <w:rPr>
                <w:rFonts w:hint="eastAsia" w:ascii="宋体" w:hAnsi="宋体" w:cs="宋体"/>
                <w:color w:val="0D0D0D"/>
                <w:sz w:val="24"/>
              </w:rPr>
              <w:t>月</w:t>
            </w:r>
            <w:r>
              <w:rPr>
                <w:rFonts w:hint="eastAsia" w:ascii="宋体" w:hAnsi="宋体" w:cs="宋体"/>
                <w:color w:val="0D0D0D"/>
                <w:sz w:val="24"/>
                <w:lang w:val="en-US" w:eastAsia="zh-CN"/>
              </w:rPr>
              <w:t>9</w:t>
            </w:r>
            <w:r>
              <w:rPr>
                <w:rFonts w:hint="eastAsia" w:ascii="宋体" w:hAnsi="宋体" w:cs="宋体"/>
                <w:color w:val="0D0D0D"/>
                <w:sz w:val="24"/>
              </w:rPr>
              <w:t>日08</w:t>
            </w:r>
            <w:r>
              <w:rPr>
                <w:rFonts w:hint="eastAsia" w:ascii="宋体" w:hAnsi="宋体" w:cs="宋体"/>
                <w:sz w:val="24"/>
                <w:szCs w:val="24"/>
              </w:rPr>
              <w:t>时30分前，逾期未递交的视为自动放弃。</w:t>
            </w:r>
          </w:p>
        </w:tc>
      </w:tr>
      <w:tr w14:paraId="1EAFBE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75DB7D97">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sz w:val="24"/>
                <w:szCs w:val="24"/>
              </w:rPr>
              <w:t>6</w:t>
            </w:r>
          </w:p>
        </w:tc>
        <w:tc>
          <w:tcPr>
            <w:tcW w:w="8490" w:type="dxa"/>
            <w:tcBorders>
              <w:top w:val="single" w:color="auto" w:sz="4" w:space="0"/>
              <w:left w:val="single" w:color="auto" w:sz="4" w:space="0"/>
              <w:bottom w:val="single" w:color="auto" w:sz="4" w:space="0"/>
            </w:tcBorders>
            <w:vAlign w:val="center"/>
          </w:tcPr>
          <w:p w14:paraId="0BF24F3D">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szCs w:val="24"/>
              </w:rPr>
              <w:t>开标时间：</w:t>
            </w:r>
            <w:r>
              <w:rPr>
                <w:rFonts w:hint="eastAsia" w:ascii="宋体" w:hAnsi="宋体" w:cs="宋体"/>
                <w:color w:val="0D0D0D"/>
                <w:sz w:val="24"/>
              </w:rPr>
              <w:t>2024年</w:t>
            </w:r>
            <w:r>
              <w:rPr>
                <w:rFonts w:hint="eastAsia" w:ascii="宋体" w:hAnsi="宋体" w:cs="宋体"/>
                <w:color w:val="0D0D0D"/>
                <w:sz w:val="24"/>
                <w:lang w:val="en-US" w:eastAsia="zh-CN"/>
              </w:rPr>
              <w:t>10</w:t>
            </w:r>
            <w:r>
              <w:rPr>
                <w:rFonts w:hint="eastAsia" w:ascii="宋体" w:hAnsi="宋体" w:cs="宋体"/>
                <w:color w:val="0D0D0D"/>
                <w:sz w:val="24"/>
              </w:rPr>
              <w:t>月</w:t>
            </w:r>
            <w:r>
              <w:rPr>
                <w:rFonts w:hint="eastAsia" w:ascii="宋体" w:hAnsi="宋体" w:cs="宋体"/>
                <w:color w:val="0D0D0D"/>
                <w:sz w:val="24"/>
                <w:lang w:val="en-US" w:eastAsia="zh-CN"/>
              </w:rPr>
              <w:t>9</w:t>
            </w:r>
            <w:r>
              <w:rPr>
                <w:rFonts w:hint="eastAsia" w:ascii="宋体" w:hAnsi="宋体" w:cs="宋体"/>
                <w:color w:val="0D0D0D"/>
                <w:sz w:val="24"/>
              </w:rPr>
              <w:t>日08</w:t>
            </w:r>
            <w:r>
              <w:rPr>
                <w:rFonts w:hint="eastAsia" w:ascii="宋体" w:hAnsi="宋体" w:cs="宋体"/>
                <w:sz w:val="24"/>
                <w:szCs w:val="24"/>
              </w:rPr>
              <w:t>时30分</w:t>
            </w:r>
          </w:p>
          <w:p w14:paraId="2A897F0C">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szCs w:val="24"/>
              </w:rPr>
              <w:t>截止开标时间，政采云（电子交易平台）自动提取所有投标文件，投标人须在开标时间截止后30分钟内对上传政采云的投标文件进行解密，所有投标人在规定的解密时限内解密完成或解密时限到后，采购代理机构开启投标文件；投标人超过解密时限的，系统默认自动放弃。</w:t>
            </w:r>
          </w:p>
        </w:tc>
      </w:tr>
      <w:tr w14:paraId="69B2CF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399257E1">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sz w:val="24"/>
                <w:szCs w:val="24"/>
              </w:rPr>
              <w:t>7</w:t>
            </w:r>
          </w:p>
        </w:tc>
        <w:tc>
          <w:tcPr>
            <w:tcW w:w="8490" w:type="dxa"/>
            <w:tcBorders>
              <w:top w:val="single" w:color="auto" w:sz="4" w:space="0"/>
              <w:left w:val="single" w:color="auto" w:sz="4" w:space="0"/>
              <w:bottom w:val="single" w:color="auto" w:sz="4" w:space="0"/>
            </w:tcBorders>
            <w:vAlign w:val="center"/>
          </w:tcPr>
          <w:p w14:paraId="356A7C68">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szCs w:val="24"/>
              </w:rPr>
              <w:t>评标办法：综合评分法</w:t>
            </w:r>
          </w:p>
        </w:tc>
      </w:tr>
      <w:tr w14:paraId="1D9AA1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19167892">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sz w:val="24"/>
                <w:szCs w:val="24"/>
              </w:rPr>
              <w:t>8</w:t>
            </w:r>
          </w:p>
        </w:tc>
        <w:tc>
          <w:tcPr>
            <w:tcW w:w="8490" w:type="dxa"/>
            <w:tcBorders>
              <w:top w:val="single" w:color="auto" w:sz="4" w:space="0"/>
              <w:left w:val="single" w:color="auto" w:sz="4" w:space="0"/>
              <w:bottom w:val="single" w:color="auto" w:sz="4" w:space="0"/>
            </w:tcBorders>
            <w:vAlign w:val="center"/>
          </w:tcPr>
          <w:p w14:paraId="406B3706">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sz w:val="24"/>
                <w:szCs w:val="24"/>
              </w:rPr>
              <w:t>现场踏勘：投标人自行组织现场踏勘。现场踏勘所发生费用由投标方自行承担，踏勘期间发生人身或交通安全等大小事故，一切责任和经济补偿均由投标单位负责。</w:t>
            </w:r>
          </w:p>
        </w:tc>
      </w:tr>
      <w:tr w14:paraId="01335E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25" w:hRule="atLeast"/>
          <w:jc w:val="center"/>
        </w:trPr>
        <w:tc>
          <w:tcPr>
            <w:tcW w:w="733" w:type="dxa"/>
            <w:tcBorders>
              <w:top w:val="single" w:color="auto" w:sz="4" w:space="0"/>
              <w:bottom w:val="single" w:color="auto" w:sz="4" w:space="0"/>
              <w:right w:val="single" w:color="auto" w:sz="4" w:space="0"/>
            </w:tcBorders>
            <w:vAlign w:val="center"/>
          </w:tcPr>
          <w:p w14:paraId="0B0CBDB3">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color w:val="0D0D0D"/>
                <w:sz w:val="24"/>
                <w:szCs w:val="24"/>
              </w:rPr>
              <w:t>9</w:t>
            </w:r>
          </w:p>
        </w:tc>
        <w:tc>
          <w:tcPr>
            <w:tcW w:w="8490" w:type="dxa"/>
            <w:tcBorders>
              <w:top w:val="single" w:color="auto" w:sz="4" w:space="0"/>
              <w:left w:val="single" w:color="auto" w:sz="4" w:space="0"/>
              <w:bottom w:val="single" w:color="auto" w:sz="4" w:space="0"/>
            </w:tcBorders>
            <w:vAlign w:val="center"/>
          </w:tcPr>
          <w:p w14:paraId="74FB0392">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sz w:val="24"/>
              </w:rPr>
              <w:t>中标结果公告：评标结束后2天内，中标结果公告于浙江省政府采购网(</w:t>
            </w:r>
            <w:r>
              <w:rPr>
                <w:rStyle w:val="56"/>
                <w:rFonts w:hint="eastAsia" w:ascii="宋体" w:hAnsi="宋体" w:cs="宋体"/>
                <w:color w:val="auto"/>
                <w:sz w:val="24"/>
                <w:szCs w:val="22"/>
              </w:rPr>
              <w:t>https://zfcg.czt.zj.gov.cn/</w:t>
            </w:r>
            <w:r>
              <w:rPr>
                <w:rFonts w:hint="eastAsia" w:ascii="宋体" w:hAnsi="宋体" w:cs="宋体"/>
                <w:sz w:val="24"/>
              </w:rPr>
              <w:t>)、东阳市公共资源交易网(</w:t>
            </w:r>
            <w:r>
              <w:rPr>
                <w:rStyle w:val="56"/>
                <w:rFonts w:hint="eastAsia" w:ascii="宋体" w:hAnsi="宋体" w:cs="宋体"/>
                <w:color w:val="auto"/>
                <w:sz w:val="24"/>
                <w:szCs w:val="22"/>
              </w:rPr>
              <w:t>http://www.dongyang.gov.cn/ggzyjy/</w:t>
            </w:r>
            <w:r>
              <w:rPr>
                <w:rFonts w:hint="eastAsia" w:ascii="宋体" w:hAnsi="宋体" w:cs="宋体"/>
                <w:sz w:val="24"/>
              </w:rPr>
              <w:t>)；公告1个工作日。</w:t>
            </w:r>
          </w:p>
        </w:tc>
      </w:tr>
      <w:tr w14:paraId="211F47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294DD8CB">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color w:val="0D0D0D"/>
                <w:sz w:val="24"/>
                <w:szCs w:val="24"/>
              </w:rPr>
              <w:t>10</w:t>
            </w:r>
          </w:p>
        </w:tc>
        <w:tc>
          <w:tcPr>
            <w:tcW w:w="8490" w:type="dxa"/>
            <w:tcBorders>
              <w:top w:val="single" w:color="auto" w:sz="4" w:space="0"/>
              <w:left w:val="single" w:color="auto" w:sz="4" w:space="0"/>
              <w:bottom w:val="single" w:color="auto" w:sz="4" w:space="0"/>
            </w:tcBorders>
            <w:vAlign w:val="center"/>
          </w:tcPr>
          <w:p w14:paraId="290DA271">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sz w:val="24"/>
                <w:szCs w:val="24"/>
              </w:rPr>
              <w:t>中标通知书：确定中标人后，中标人应在三个工作日内，向招标人领取《中标通知书》，否则按放弃中标资格处理。</w:t>
            </w:r>
          </w:p>
        </w:tc>
      </w:tr>
      <w:tr w14:paraId="72B6DD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jc w:val="center"/>
        </w:trPr>
        <w:tc>
          <w:tcPr>
            <w:tcW w:w="733" w:type="dxa"/>
            <w:tcBorders>
              <w:top w:val="single" w:color="auto" w:sz="4" w:space="0"/>
              <w:bottom w:val="single" w:color="auto" w:sz="4" w:space="0"/>
              <w:right w:val="single" w:color="auto" w:sz="4" w:space="0"/>
            </w:tcBorders>
            <w:vAlign w:val="center"/>
          </w:tcPr>
          <w:p w14:paraId="0FA7D375">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color w:val="0D0D0D"/>
                <w:sz w:val="24"/>
                <w:szCs w:val="24"/>
              </w:rPr>
              <w:t>11</w:t>
            </w:r>
          </w:p>
        </w:tc>
        <w:tc>
          <w:tcPr>
            <w:tcW w:w="8490" w:type="dxa"/>
            <w:tcBorders>
              <w:top w:val="single" w:color="auto" w:sz="4" w:space="0"/>
              <w:left w:val="single" w:color="auto" w:sz="4" w:space="0"/>
              <w:bottom w:val="single" w:color="auto" w:sz="4" w:space="0"/>
            </w:tcBorders>
            <w:vAlign w:val="center"/>
          </w:tcPr>
          <w:p w14:paraId="67D41EAE">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rPr>
              <w:t>履约保证金：本项目的履约保证金为中标金额的1.0%，中标人应在合同签订后交纳（可以用保函的形式提交</w:t>
            </w:r>
            <w:r>
              <w:rPr>
                <w:rFonts w:ascii="宋体" w:hAnsi="宋体" w:cs="宋体"/>
                <w:sz w:val="24"/>
              </w:rPr>
              <w:t>,</w:t>
            </w:r>
            <w:r>
              <w:rPr>
                <w:rFonts w:hint="eastAsia" w:ascii="宋体" w:hAnsi="宋体" w:cs="宋体"/>
                <w:sz w:val="24"/>
              </w:rPr>
              <w:t>保函可在政采云平台线上申请办理），在本项目服务期结束后7个工作日内由采购单位无息退还。</w:t>
            </w:r>
          </w:p>
        </w:tc>
      </w:tr>
      <w:tr w14:paraId="0F8341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733" w:type="dxa"/>
            <w:tcBorders>
              <w:top w:val="single" w:color="auto" w:sz="4" w:space="0"/>
              <w:bottom w:val="single" w:color="auto" w:sz="4" w:space="0"/>
              <w:right w:val="single" w:color="auto" w:sz="4" w:space="0"/>
            </w:tcBorders>
            <w:vAlign w:val="center"/>
          </w:tcPr>
          <w:p w14:paraId="3274B752">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sz w:val="24"/>
                <w:szCs w:val="24"/>
              </w:rPr>
              <w:t>12</w:t>
            </w:r>
          </w:p>
        </w:tc>
        <w:tc>
          <w:tcPr>
            <w:tcW w:w="8490" w:type="dxa"/>
            <w:tcBorders>
              <w:top w:val="single" w:color="auto" w:sz="4" w:space="0"/>
              <w:left w:val="single" w:color="auto" w:sz="4" w:space="0"/>
              <w:bottom w:val="single" w:color="auto" w:sz="4" w:space="0"/>
            </w:tcBorders>
            <w:vAlign w:val="center"/>
          </w:tcPr>
          <w:p w14:paraId="51D2ED14">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sz w:val="24"/>
                <w:szCs w:val="24"/>
              </w:rPr>
              <w:t>签订合同时间：中标通知书发出后20日内。</w:t>
            </w:r>
          </w:p>
        </w:tc>
      </w:tr>
      <w:tr w14:paraId="2299F6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3" w:hRule="atLeast"/>
          <w:jc w:val="center"/>
        </w:trPr>
        <w:tc>
          <w:tcPr>
            <w:tcW w:w="733" w:type="dxa"/>
            <w:tcBorders>
              <w:top w:val="single" w:color="auto" w:sz="4" w:space="0"/>
              <w:bottom w:val="single" w:color="auto" w:sz="4" w:space="0"/>
              <w:right w:val="single" w:color="auto" w:sz="4" w:space="0"/>
            </w:tcBorders>
            <w:vAlign w:val="center"/>
          </w:tcPr>
          <w:p w14:paraId="58A9E12D">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sz w:val="24"/>
                <w:szCs w:val="24"/>
              </w:rPr>
              <w:t>13</w:t>
            </w:r>
          </w:p>
        </w:tc>
        <w:tc>
          <w:tcPr>
            <w:tcW w:w="8490" w:type="dxa"/>
            <w:tcBorders>
              <w:top w:val="single" w:color="auto" w:sz="4" w:space="0"/>
              <w:left w:val="single" w:color="auto" w:sz="4" w:space="0"/>
              <w:bottom w:val="single" w:color="auto" w:sz="4" w:space="0"/>
            </w:tcBorders>
            <w:vAlign w:val="center"/>
          </w:tcPr>
          <w:p w14:paraId="09DDA2AF">
            <w:pPr>
              <w:keepNext w:val="0"/>
              <w:keepLines w:val="0"/>
              <w:pageBreakBefore w:val="0"/>
              <w:kinsoku/>
              <w:overflowPunct/>
              <w:topLinePunct w:val="0"/>
              <w:bidi w:val="0"/>
              <w:snapToGrid w:val="0"/>
              <w:spacing w:beforeAutospacing="0" w:after="0" w:afterAutospacing="0" w:line="400" w:lineRule="atLeast"/>
              <w:rPr>
                <w:rFonts w:ascii="宋体" w:hAnsi="宋体" w:cs="宋体"/>
                <w:color w:val="0D0D0D"/>
                <w:sz w:val="24"/>
                <w:szCs w:val="24"/>
              </w:rPr>
            </w:pPr>
            <w:r>
              <w:rPr>
                <w:rFonts w:hint="eastAsia" w:ascii="宋体" w:hAnsi="宋体" w:cs="宋体"/>
                <w:sz w:val="24"/>
                <w:szCs w:val="24"/>
              </w:rPr>
              <w:t>中标人须</w:t>
            </w:r>
            <w:r>
              <w:rPr>
                <w:rFonts w:hint="eastAsia" w:ascii="宋体" w:hAnsi="宋体" w:cs="宋体"/>
                <w:color w:val="000000"/>
                <w:sz w:val="24"/>
                <w:szCs w:val="24"/>
              </w:rPr>
              <w:t>在领取中标通知书前</w:t>
            </w:r>
            <w:r>
              <w:rPr>
                <w:rFonts w:hint="eastAsia" w:ascii="宋体" w:hAnsi="宋体" w:cs="宋体"/>
                <w:sz w:val="24"/>
                <w:szCs w:val="24"/>
              </w:rPr>
              <w:t>向招标代理机构交纳中标服务费，招标代理机构开具增值税普通发票，中标服务费参照本投标人须知总则第五条相关约定执行计取。</w:t>
            </w:r>
          </w:p>
        </w:tc>
      </w:tr>
      <w:tr w14:paraId="7103AD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2305B9BE">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sz w:val="24"/>
                <w:szCs w:val="24"/>
              </w:rPr>
              <w:t>14</w:t>
            </w:r>
          </w:p>
        </w:tc>
        <w:tc>
          <w:tcPr>
            <w:tcW w:w="8490" w:type="dxa"/>
            <w:tcBorders>
              <w:top w:val="single" w:color="auto" w:sz="4" w:space="0"/>
              <w:left w:val="single" w:color="auto" w:sz="4" w:space="0"/>
              <w:bottom w:val="single" w:color="auto" w:sz="4" w:space="0"/>
            </w:tcBorders>
            <w:vAlign w:val="center"/>
          </w:tcPr>
          <w:p w14:paraId="538E3892">
            <w:pPr>
              <w:keepNext w:val="0"/>
              <w:keepLines w:val="0"/>
              <w:pageBreakBefore w:val="0"/>
              <w:kinsoku/>
              <w:overflowPunct/>
              <w:topLinePunct w:val="0"/>
              <w:autoSpaceDE w:val="0"/>
              <w:autoSpaceDN w:val="0"/>
              <w:bidi w:val="0"/>
              <w:spacing w:beforeAutospacing="0" w:after="0" w:afterAutospacing="0" w:line="400" w:lineRule="atLeast"/>
              <w:textAlignment w:val="bottom"/>
              <w:rPr>
                <w:rFonts w:ascii="宋体" w:hAnsi="宋体" w:cs="宋体"/>
                <w:color w:val="FF0000"/>
                <w:sz w:val="24"/>
                <w:szCs w:val="24"/>
              </w:rPr>
            </w:pPr>
            <w:r>
              <w:rPr>
                <w:rFonts w:hint="eastAsia" w:ascii="宋体" w:hAnsi="宋体" w:cs="宋体"/>
                <w:sz w:val="24"/>
                <w:szCs w:val="24"/>
              </w:rPr>
              <w:t>付款方式：</w:t>
            </w:r>
            <w:r>
              <w:rPr>
                <w:rFonts w:hint="eastAsia" w:ascii="宋体" w:hAnsi="宋体" w:cs="宋体"/>
                <w:b/>
                <w:bCs/>
                <w:color w:val="0D0D0D"/>
                <w:sz w:val="24"/>
                <w:szCs w:val="24"/>
              </w:rPr>
              <w:t>详见招标需求</w:t>
            </w:r>
            <w:r>
              <w:rPr>
                <w:rFonts w:hint="eastAsia" w:ascii="宋体" w:hAnsi="宋体" w:cs="宋体"/>
                <w:sz w:val="24"/>
                <w:szCs w:val="24"/>
              </w:rPr>
              <w:t>。</w:t>
            </w:r>
          </w:p>
        </w:tc>
      </w:tr>
      <w:tr w14:paraId="485703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005E0170">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sz w:val="24"/>
                <w:szCs w:val="24"/>
              </w:rPr>
              <w:t>15</w:t>
            </w:r>
          </w:p>
        </w:tc>
        <w:tc>
          <w:tcPr>
            <w:tcW w:w="8490" w:type="dxa"/>
            <w:tcBorders>
              <w:top w:val="single" w:color="auto" w:sz="4" w:space="0"/>
              <w:left w:val="single" w:color="auto" w:sz="4" w:space="0"/>
              <w:bottom w:val="single" w:color="auto" w:sz="4" w:space="0"/>
            </w:tcBorders>
            <w:vAlign w:val="center"/>
          </w:tcPr>
          <w:p w14:paraId="2B5A3D8F">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szCs w:val="24"/>
              </w:rPr>
              <w:t>投标有效期：60天。</w:t>
            </w:r>
          </w:p>
        </w:tc>
      </w:tr>
      <w:tr w14:paraId="73039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18BCFC8E">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color w:val="0D0D0D"/>
                <w:sz w:val="24"/>
                <w:szCs w:val="24"/>
              </w:rPr>
            </w:pPr>
            <w:r>
              <w:rPr>
                <w:rFonts w:hint="eastAsia" w:ascii="宋体" w:hAnsi="宋体" w:cs="宋体"/>
                <w:sz w:val="24"/>
                <w:szCs w:val="24"/>
              </w:rPr>
              <w:t>16</w:t>
            </w:r>
          </w:p>
        </w:tc>
        <w:tc>
          <w:tcPr>
            <w:tcW w:w="8490" w:type="dxa"/>
            <w:tcBorders>
              <w:top w:val="single" w:color="auto" w:sz="4" w:space="0"/>
              <w:left w:val="single" w:color="auto" w:sz="4" w:space="0"/>
              <w:bottom w:val="single" w:color="auto" w:sz="4" w:space="0"/>
            </w:tcBorders>
            <w:vAlign w:val="center"/>
          </w:tcPr>
          <w:p w14:paraId="1B8B5E98">
            <w:pPr>
              <w:keepNext w:val="0"/>
              <w:keepLines w:val="0"/>
              <w:pageBreakBefore w:val="0"/>
              <w:kinsoku/>
              <w:overflowPunct/>
              <w:topLinePunct w:val="0"/>
              <w:bidi w:val="0"/>
              <w:snapToGrid w:val="0"/>
              <w:spacing w:beforeAutospacing="0" w:after="0" w:afterAutospacing="0" w:line="400" w:lineRule="atLeast"/>
              <w:rPr>
                <w:rFonts w:ascii="宋体" w:hAnsi="宋体" w:cs="宋体"/>
                <w:sz w:val="24"/>
              </w:rPr>
            </w:pPr>
            <w:r>
              <w:rPr>
                <w:rFonts w:hint="eastAsia" w:ascii="宋体" w:hAnsi="宋体" w:cs="宋体"/>
                <w:sz w:val="24"/>
              </w:rPr>
              <w:t xml:space="preserve">中标人如因资金问题需贷款，可登录政采云平台“金融服务模块”查看各相关银行服务方案，具体执行可与相关银行东阳分行联系或“政采云”线上申请。为扩大政府采购金融服务面，除政采云网上金融服务合作银行外，东阳市范围内增加浙商银行金华分行东阳支行作为线下合作银行。   </w:t>
            </w:r>
          </w:p>
          <w:p w14:paraId="7692BDF5">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rPr>
              <w:t>浙商银行金华东阳支行联系人：许燕  联系电话：13967983441    0579-86222992</w:t>
            </w:r>
          </w:p>
        </w:tc>
      </w:tr>
      <w:tr w14:paraId="77DBC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0B76B81E">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sz w:val="24"/>
                <w:szCs w:val="24"/>
              </w:rPr>
            </w:pPr>
            <w:r>
              <w:rPr>
                <w:rFonts w:hint="eastAsia" w:ascii="宋体" w:hAnsi="宋体" w:cs="宋体"/>
                <w:sz w:val="24"/>
                <w:szCs w:val="24"/>
              </w:rPr>
              <w:t>17</w:t>
            </w:r>
          </w:p>
        </w:tc>
        <w:tc>
          <w:tcPr>
            <w:tcW w:w="8490" w:type="dxa"/>
            <w:tcBorders>
              <w:top w:val="single" w:color="auto" w:sz="4" w:space="0"/>
              <w:left w:val="single" w:color="auto" w:sz="4" w:space="0"/>
              <w:bottom w:val="single" w:color="auto" w:sz="4" w:space="0"/>
            </w:tcBorders>
            <w:vAlign w:val="center"/>
          </w:tcPr>
          <w:p w14:paraId="1332059B">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szCs w:val="24"/>
              </w:rPr>
              <w:t>解释：本招标文件的解释权归招标采购单位。招标人对投标人的落选不作任何解释。</w:t>
            </w:r>
          </w:p>
        </w:tc>
      </w:tr>
      <w:tr w14:paraId="7C3D72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733" w:type="dxa"/>
            <w:tcBorders>
              <w:top w:val="single" w:color="auto" w:sz="4" w:space="0"/>
              <w:bottom w:val="single" w:color="auto" w:sz="4" w:space="0"/>
              <w:right w:val="single" w:color="auto" w:sz="4" w:space="0"/>
            </w:tcBorders>
            <w:vAlign w:val="center"/>
          </w:tcPr>
          <w:p w14:paraId="13F34029">
            <w:pPr>
              <w:keepNext w:val="0"/>
              <w:keepLines w:val="0"/>
              <w:pageBreakBefore w:val="0"/>
              <w:kinsoku/>
              <w:overflowPunct/>
              <w:topLinePunct w:val="0"/>
              <w:bidi w:val="0"/>
              <w:snapToGrid w:val="0"/>
              <w:spacing w:beforeAutospacing="0" w:after="0" w:afterAutospacing="0" w:line="400" w:lineRule="atLeast"/>
              <w:jc w:val="center"/>
              <w:rPr>
                <w:rFonts w:ascii="宋体" w:hAnsi="宋体" w:cs="宋体"/>
                <w:sz w:val="24"/>
                <w:szCs w:val="24"/>
              </w:rPr>
            </w:pPr>
            <w:r>
              <w:rPr>
                <w:rFonts w:hint="eastAsia" w:ascii="宋体" w:hAnsi="宋体" w:cs="宋体"/>
                <w:sz w:val="24"/>
                <w:szCs w:val="24"/>
              </w:rPr>
              <w:t>18</w:t>
            </w:r>
          </w:p>
        </w:tc>
        <w:tc>
          <w:tcPr>
            <w:tcW w:w="8490" w:type="dxa"/>
            <w:tcBorders>
              <w:top w:val="single" w:color="auto" w:sz="4" w:space="0"/>
              <w:left w:val="single" w:color="auto" w:sz="4" w:space="0"/>
              <w:bottom w:val="single" w:color="auto" w:sz="4" w:space="0"/>
            </w:tcBorders>
            <w:vAlign w:val="center"/>
          </w:tcPr>
          <w:p w14:paraId="1923B63E">
            <w:pPr>
              <w:keepNext w:val="0"/>
              <w:keepLines w:val="0"/>
              <w:pageBreakBefore w:val="0"/>
              <w:kinsoku/>
              <w:overflowPunct/>
              <w:topLinePunct w:val="0"/>
              <w:bidi w:val="0"/>
              <w:snapToGrid w:val="0"/>
              <w:spacing w:beforeAutospacing="0" w:after="0" w:afterAutospacing="0" w:line="400" w:lineRule="atLeast"/>
              <w:rPr>
                <w:rFonts w:ascii="宋体" w:hAnsi="宋体" w:cs="宋体"/>
                <w:sz w:val="24"/>
                <w:szCs w:val="24"/>
              </w:rPr>
            </w:pPr>
            <w:r>
              <w:rPr>
                <w:rFonts w:hint="eastAsia" w:ascii="宋体" w:hAnsi="宋体" w:cs="宋体"/>
                <w:sz w:val="24"/>
                <w:szCs w:val="24"/>
              </w:rPr>
              <w:t>本项目的中小企业行业属于：工业。</w:t>
            </w:r>
          </w:p>
        </w:tc>
      </w:tr>
    </w:tbl>
    <w:p w14:paraId="69C671E8">
      <w:pPr>
        <w:pStyle w:val="28"/>
        <w:keepNext w:val="0"/>
        <w:keepLines w:val="0"/>
        <w:pageBreakBefore w:val="0"/>
        <w:kinsoku/>
        <w:overflowPunct/>
        <w:topLinePunct w:val="0"/>
        <w:bidi w:val="0"/>
        <w:spacing w:beforeLines="0" w:beforeAutospacing="0" w:after="0" w:afterLines="0" w:afterAutospacing="0" w:line="360" w:lineRule="auto"/>
        <w:outlineLvl w:val="1"/>
        <w:rPr>
          <w:rFonts w:hAnsi="宋体"/>
          <w:b/>
          <w:bCs/>
          <w:color w:val="0D0D0D"/>
        </w:rPr>
      </w:pPr>
      <w:r>
        <w:rPr>
          <w:rFonts w:hint="eastAsia" w:hAnsi="宋体"/>
          <w:b/>
          <w:bCs/>
          <w:color w:val="0D0D0D"/>
        </w:rPr>
        <w:t>一、总则</w:t>
      </w:r>
    </w:p>
    <w:p w14:paraId="71461B30">
      <w:pPr>
        <w:keepNext w:val="0"/>
        <w:keepLines w:val="0"/>
        <w:pageBreakBefore w:val="0"/>
        <w:kinsoku/>
        <w:overflowPunct/>
        <w:topLinePunct w:val="0"/>
        <w:bidi w:val="0"/>
        <w:spacing w:beforeAutospacing="0" w:after="0" w:afterAutospacing="0" w:line="360" w:lineRule="auto"/>
        <w:ind w:firstLine="470" w:firstLineChars="196"/>
        <w:jc w:val="left"/>
        <w:outlineLvl w:val="2"/>
        <w:rPr>
          <w:rFonts w:ascii="宋体" w:hAnsi="宋体" w:cs="宋体"/>
          <w:b/>
          <w:bCs/>
          <w:color w:val="0D0D0D"/>
          <w:sz w:val="24"/>
          <w:szCs w:val="24"/>
        </w:rPr>
      </w:pPr>
      <w:r>
        <w:rPr>
          <w:rFonts w:hint="eastAsia" w:ascii="宋体" w:hAnsi="宋体" w:cs="宋体"/>
          <w:b/>
          <w:bCs/>
          <w:color w:val="0D0D0D"/>
          <w:sz w:val="24"/>
          <w:szCs w:val="24"/>
        </w:rPr>
        <w:t>（一）适用范围</w:t>
      </w:r>
    </w:p>
    <w:p w14:paraId="5275EAC2">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本招标文件仅适用于</w:t>
      </w:r>
      <w:r>
        <w:rPr>
          <w:rFonts w:hint="eastAsia" w:ascii="宋体" w:hAnsi="宋体" w:cs="宋体"/>
          <w:color w:val="000000"/>
          <w:sz w:val="24"/>
          <w:szCs w:val="24"/>
        </w:rPr>
        <w:t>《东阳剧院舞台灯光系统建设更新》项目</w:t>
      </w:r>
      <w:r>
        <w:rPr>
          <w:rFonts w:hint="eastAsia" w:ascii="宋体" w:hAnsi="宋体" w:cs="宋体"/>
          <w:color w:val="0D0D0D"/>
          <w:sz w:val="24"/>
          <w:szCs w:val="24"/>
        </w:rPr>
        <w:t>的招标采购。</w:t>
      </w:r>
    </w:p>
    <w:p w14:paraId="2D381ACA">
      <w:pPr>
        <w:keepNext w:val="0"/>
        <w:keepLines w:val="0"/>
        <w:pageBreakBefore w:val="0"/>
        <w:kinsoku/>
        <w:overflowPunct/>
        <w:topLinePunct w:val="0"/>
        <w:bidi w:val="0"/>
        <w:spacing w:beforeAutospacing="0" w:after="0" w:afterAutospacing="0" w:line="360" w:lineRule="auto"/>
        <w:ind w:firstLine="470" w:firstLineChars="196"/>
        <w:jc w:val="left"/>
        <w:outlineLvl w:val="2"/>
        <w:rPr>
          <w:rFonts w:ascii="宋体" w:hAnsi="宋体" w:cs="宋体"/>
          <w:b/>
          <w:bCs/>
          <w:color w:val="0D0D0D"/>
          <w:sz w:val="24"/>
          <w:szCs w:val="24"/>
        </w:rPr>
      </w:pPr>
      <w:r>
        <w:rPr>
          <w:rFonts w:hint="eastAsia" w:ascii="宋体" w:hAnsi="宋体" w:cs="宋体"/>
          <w:b/>
          <w:bCs/>
          <w:color w:val="0D0D0D"/>
          <w:sz w:val="24"/>
          <w:szCs w:val="24"/>
        </w:rPr>
        <w:t>（二）定义</w:t>
      </w:r>
    </w:p>
    <w:p w14:paraId="7EE2E5C4">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1.招标采购单位系指组织本次招标的东阳市婺剧艺术传承中心</w:t>
      </w:r>
      <w:r>
        <w:rPr>
          <w:rFonts w:hint="eastAsia" w:ascii="宋体" w:hAnsi="宋体" w:cs="宋体"/>
          <w:sz w:val="24"/>
          <w:szCs w:val="24"/>
        </w:rPr>
        <w:t>(</w:t>
      </w:r>
      <w:r>
        <w:rPr>
          <w:rFonts w:hint="eastAsia" w:ascii="宋体" w:hAnsi="宋体" w:cs="宋体"/>
          <w:color w:val="0D0D0D"/>
          <w:sz w:val="24"/>
          <w:szCs w:val="24"/>
        </w:rPr>
        <w:t>采购人)和金华市金诚招投标代理有限公司（招标方）。</w:t>
      </w:r>
    </w:p>
    <w:p w14:paraId="4FE32FD6">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2.“投标人”系指向招标方提交投标文件的单位。</w:t>
      </w:r>
    </w:p>
    <w:p w14:paraId="7B203AD6">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3.“产品”系指供方按招标文件规定，须向采购人提供的一切设备、产品、保险、税金、备品备件、工具、手册及其它有关技术资料和材料。</w:t>
      </w:r>
    </w:p>
    <w:p w14:paraId="360CD03E">
      <w:pPr>
        <w:keepNext w:val="0"/>
        <w:keepLines w:val="0"/>
        <w:pageBreakBefore w:val="0"/>
        <w:kinsoku/>
        <w:overflowPunct/>
        <w:topLinePunct w:val="0"/>
        <w:bidi w:val="0"/>
        <w:snapToGrid w:val="0"/>
        <w:spacing w:beforeAutospacing="0" w:after="0" w:afterAutospacing="0" w:line="460" w:lineRule="exact"/>
        <w:ind w:firstLine="480" w:firstLineChars="200"/>
        <w:jc w:val="left"/>
        <w:rPr>
          <w:rFonts w:ascii="宋体" w:hAnsi="宋体" w:cs="宋体"/>
          <w:color w:val="0D0D0D"/>
          <w:sz w:val="24"/>
          <w:szCs w:val="24"/>
        </w:rPr>
      </w:pPr>
      <w:r>
        <w:rPr>
          <w:rFonts w:hint="eastAsia" w:ascii="宋体" w:hAnsi="宋体" w:cs="宋体"/>
          <w:color w:val="0D0D0D"/>
          <w:sz w:val="24"/>
          <w:szCs w:val="24"/>
        </w:rPr>
        <w:t>4.“服务”系指招标文件规定投标人须承担的安装、调试、技术鉴定、技术协助、技术认证、培训、技术指导以及其他类似的义务等。</w:t>
      </w:r>
    </w:p>
    <w:p w14:paraId="1BDC8F78">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5.“项目”系指投标人按招标文件规定向采购人提供的产品和服务。</w:t>
      </w:r>
    </w:p>
    <w:p w14:paraId="00825156">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6.“书面形式”包括信函、传真、电报等。</w:t>
      </w:r>
    </w:p>
    <w:p w14:paraId="26DADDA5">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7.“▲”系指实质性要求条款。</w:t>
      </w:r>
    </w:p>
    <w:p w14:paraId="3892563F">
      <w:pPr>
        <w:keepNext w:val="0"/>
        <w:keepLines w:val="0"/>
        <w:pageBreakBefore w:val="0"/>
        <w:kinsoku/>
        <w:overflowPunct/>
        <w:topLinePunct w:val="0"/>
        <w:bidi w:val="0"/>
        <w:spacing w:beforeAutospacing="0" w:after="0" w:afterAutospacing="0" w:line="360" w:lineRule="auto"/>
        <w:ind w:firstLine="470" w:firstLineChars="196"/>
        <w:jc w:val="left"/>
        <w:outlineLvl w:val="2"/>
        <w:rPr>
          <w:rFonts w:ascii="宋体" w:hAnsi="宋体" w:cs="宋体"/>
          <w:b/>
          <w:bCs/>
          <w:color w:val="0D0D0D"/>
          <w:sz w:val="24"/>
          <w:szCs w:val="24"/>
        </w:rPr>
      </w:pPr>
      <w:r>
        <w:rPr>
          <w:rFonts w:hint="eastAsia" w:ascii="宋体" w:hAnsi="宋体" w:cs="宋体"/>
          <w:b/>
          <w:bCs/>
          <w:color w:val="0D0D0D"/>
          <w:sz w:val="24"/>
          <w:szCs w:val="24"/>
        </w:rPr>
        <w:t>（三）招标方式</w:t>
      </w:r>
    </w:p>
    <w:p w14:paraId="2FF3AB7E">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本次招标采用公开招标方式进行。</w:t>
      </w:r>
    </w:p>
    <w:p w14:paraId="0E907B36">
      <w:pPr>
        <w:keepNext w:val="0"/>
        <w:keepLines w:val="0"/>
        <w:pageBreakBefore w:val="0"/>
        <w:kinsoku/>
        <w:overflowPunct/>
        <w:topLinePunct w:val="0"/>
        <w:bidi w:val="0"/>
        <w:spacing w:beforeAutospacing="0" w:after="0" w:afterAutospacing="0" w:line="360" w:lineRule="auto"/>
        <w:ind w:firstLine="470" w:firstLineChars="196"/>
        <w:jc w:val="left"/>
        <w:outlineLvl w:val="2"/>
        <w:rPr>
          <w:rFonts w:ascii="宋体" w:hAnsi="宋体" w:cs="宋体"/>
          <w:b/>
          <w:bCs/>
          <w:color w:val="0D0D0D"/>
          <w:sz w:val="24"/>
          <w:szCs w:val="24"/>
        </w:rPr>
      </w:pPr>
      <w:r>
        <w:rPr>
          <w:rFonts w:hint="eastAsia" w:ascii="宋体" w:hAnsi="宋体" w:cs="宋体"/>
          <w:b/>
          <w:bCs/>
          <w:color w:val="0D0D0D"/>
          <w:sz w:val="24"/>
          <w:szCs w:val="24"/>
        </w:rPr>
        <w:t>（四）投标委托</w:t>
      </w:r>
    </w:p>
    <w:p w14:paraId="5101F6F2">
      <w:pPr>
        <w:pStyle w:val="8"/>
        <w:keepNext w:val="0"/>
        <w:keepLines w:val="0"/>
        <w:pageBreakBefore w:val="0"/>
        <w:kinsoku/>
        <w:overflowPunct/>
        <w:topLinePunct w:val="0"/>
        <w:bidi w:val="0"/>
        <w:spacing w:beforeAutospacing="0" w:after="0" w:afterAutospacing="0" w:line="360" w:lineRule="auto"/>
        <w:ind w:firstLine="464" w:firstLineChars="200"/>
        <w:jc w:val="left"/>
        <w:rPr>
          <w:rFonts w:hAnsi="宋体"/>
          <w:color w:val="0D0D0D"/>
          <w:sz w:val="24"/>
          <w:szCs w:val="24"/>
        </w:rPr>
      </w:pPr>
      <w:r>
        <w:rPr>
          <w:rFonts w:hint="eastAsia" w:hAnsi="宋体"/>
          <w:color w:val="0D0D0D"/>
          <w:sz w:val="24"/>
          <w:szCs w:val="24"/>
        </w:rPr>
        <w:t>投标人代表须携带有效身份证件等有效证明。如投标人代表不是法定代表人，须有法定代表人出具的授权委托书。</w:t>
      </w:r>
    </w:p>
    <w:p w14:paraId="2B1E62C4">
      <w:pPr>
        <w:keepNext w:val="0"/>
        <w:keepLines w:val="0"/>
        <w:pageBreakBefore w:val="0"/>
        <w:kinsoku/>
        <w:overflowPunct/>
        <w:topLinePunct w:val="0"/>
        <w:bidi w:val="0"/>
        <w:spacing w:beforeAutospacing="0" w:after="0" w:afterAutospacing="0" w:line="360" w:lineRule="auto"/>
        <w:ind w:firstLine="470" w:firstLineChars="196"/>
        <w:jc w:val="left"/>
        <w:outlineLvl w:val="2"/>
        <w:rPr>
          <w:rFonts w:ascii="宋体" w:hAnsi="宋体" w:cs="宋体"/>
          <w:b/>
          <w:bCs/>
          <w:color w:val="0D0D0D"/>
          <w:sz w:val="24"/>
          <w:szCs w:val="24"/>
        </w:rPr>
      </w:pPr>
      <w:r>
        <w:rPr>
          <w:rFonts w:hint="eastAsia" w:ascii="宋体" w:hAnsi="宋体" w:cs="宋体"/>
          <w:b/>
          <w:bCs/>
          <w:color w:val="0D0D0D"/>
          <w:sz w:val="24"/>
          <w:szCs w:val="24"/>
        </w:rPr>
        <w:t>（五）投标费用</w:t>
      </w:r>
    </w:p>
    <w:p w14:paraId="03964813">
      <w:pPr>
        <w:keepNext w:val="0"/>
        <w:keepLines w:val="0"/>
        <w:pageBreakBefore w:val="0"/>
        <w:widowControl/>
        <w:kinsoku/>
        <w:overflowPunct/>
        <w:topLinePunct w:val="0"/>
        <w:bidi w:val="0"/>
        <w:spacing w:beforeAutospacing="0" w:after="0" w:afterAutospacing="0" w:line="360" w:lineRule="auto"/>
        <w:ind w:firstLine="480" w:firstLineChars="200"/>
        <w:jc w:val="left"/>
        <w:rPr>
          <w:rFonts w:ascii="宋体" w:hAnsi="宋体" w:cs="宋体"/>
          <w:color w:val="000000"/>
          <w:sz w:val="24"/>
          <w:szCs w:val="24"/>
        </w:rPr>
      </w:pPr>
      <w:r>
        <w:rPr>
          <w:rFonts w:hint="eastAsia" w:ascii="宋体" w:hAnsi="宋体" w:cs="宋体"/>
          <w:color w:val="0D0D0D"/>
          <w:sz w:val="24"/>
          <w:szCs w:val="24"/>
        </w:rPr>
        <w:t>不论投标结果如何，投标人均应自行承担所有与投标有关的全部费用（招标文件有相反规定除外）。</w:t>
      </w:r>
      <w:r>
        <w:rPr>
          <w:rFonts w:hint="eastAsia" w:ascii="宋体" w:hAnsi="宋体" w:cs="宋体"/>
          <w:color w:val="000000"/>
          <w:sz w:val="24"/>
          <w:szCs w:val="24"/>
        </w:rPr>
        <w:t>中标人须在领取中标通知书前向招标代理机构交纳中标服务费，中标服务费按以下标准计算收取。</w:t>
      </w:r>
    </w:p>
    <w:p w14:paraId="412F6A19">
      <w:pPr>
        <w:keepNext w:val="0"/>
        <w:keepLines w:val="0"/>
        <w:pageBreakBefore w:val="0"/>
        <w:widowControl/>
        <w:kinsoku/>
        <w:overflowPunct/>
        <w:topLinePunct w:val="0"/>
        <w:bidi w:val="0"/>
        <w:spacing w:beforeAutospacing="0" w:after="0" w:afterAutospacing="0" w:line="360" w:lineRule="auto"/>
        <w:ind w:firstLine="2640" w:firstLineChars="1100"/>
        <w:rPr>
          <w:rFonts w:ascii="宋体" w:hAnsi="宋体" w:cs="宋体"/>
          <w:kern w:val="0"/>
          <w:sz w:val="24"/>
          <w:szCs w:val="24"/>
        </w:rPr>
      </w:pPr>
      <w:r>
        <w:rPr>
          <w:rFonts w:hint="eastAsia" w:ascii="宋体" w:hAnsi="宋体" w:cs="宋体"/>
          <w:b/>
          <w:bCs/>
          <w:kern w:val="0"/>
          <w:sz w:val="24"/>
          <w:szCs w:val="24"/>
        </w:rPr>
        <w:t>招标代理服务收费标准</w:t>
      </w:r>
    </w:p>
    <w:tbl>
      <w:tblPr>
        <w:tblStyle w:val="49"/>
        <w:tblW w:w="5000" w:type="pct"/>
        <w:tblCellSpacing w:w="15" w:type="dxa"/>
        <w:tblInd w:w="0" w:type="dxa"/>
        <w:tblLayout w:type="autofit"/>
        <w:tblCellMar>
          <w:top w:w="15" w:type="dxa"/>
          <w:left w:w="15" w:type="dxa"/>
          <w:bottom w:w="15" w:type="dxa"/>
          <w:right w:w="15" w:type="dxa"/>
        </w:tblCellMar>
      </w:tblPr>
      <w:tblGrid>
        <w:gridCol w:w="4458"/>
        <w:gridCol w:w="4476"/>
      </w:tblGrid>
      <w:tr w14:paraId="3A42726B">
        <w:tblPrEx>
          <w:tblCellMar>
            <w:top w:w="15" w:type="dxa"/>
            <w:left w:w="15" w:type="dxa"/>
            <w:bottom w:w="15" w:type="dxa"/>
            <w:right w:w="15" w:type="dxa"/>
          </w:tblCellMar>
        </w:tblPrEx>
        <w:trPr>
          <w:trHeight w:val="300" w:hRule="atLeast"/>
          <w:tblCellSpacing w:w="15" w:type="dxa"/>
        </w:trPr>
        <w:tc>
          <w:tcPr>
            <w:tcW w:w="2470" w:type="pct"/>
            <w:tcBorders>
              <w:top w:val="inset" w:color="000000" w:sz="6" w:space="0"/>
              <w:left w:val="inset" w:color="000000" w:sz="6" w:space="0"/>
              <w:bottom w:val="inset" w:color="000000" w:sz="6" w:space="0"/>
              <w:right w:val="inset" w:color="000000" w:sz="6" w:space="0"/>
            </w:tcBorders>
            <w:tcMar>
              <w:top w:w="0" w:type="dxa"/>
              <w:left w:w="0" w:type="dxa"/>
              <w:bottom w:w="0" w:type="dxa"/>
              <w:right w:w="0" w:type="dxa"/>
            </w:tcMar>
            <w:vAlign w:val="center"/>
          </w:tcPr>
          <w:p w14:paraId="20F515A2">
            <w:pPr>
              <w:keepNext w:val="0"/>
              <w:keepLines w:val="0"/>
              <w:pageBreakBefore w:val="0"/>
              <w:widowControl/>
              <w:kinsoku/>
              <w:overflowPunct/>
              <w:topLinePunct w:val="0"/>
              <w:bidi w:val="0"/>
              <w:spacing w:beforeAutospacing="0" w:after="0" w:afterAutospacing="0"/>
              <w:ind w:firstLine="480" w:firstLineChars="200"/>
              <w:jc w:val="center"/>
              <w:rPr>
                <w:rFonts w:ascii="宋体" w:hAnsi="宋体" w:cs="宋体"/>
                <w:kern w:val="0"/>
                <w:sz w:val="24"/>
                <w:szCs w:val="24"/>
              </w:rPr>
            </w:pPr>
            <w:r>
              <w:rPr>
                <w:rFonts w:hint="eastAsia" w:ascii="宋体" w:hAnsi="宋体" w:cs="宋体"/>
                <w:b/>
                <w:bCs/>
                <w:kern w:val="0"/>
                <w:sz w:val="24"/>
                <w:szCs w:val="24"/>
              </w:rPr>
              <w:t>中标金额（万元）</w:t>
            </w:r>
          </w:p>
        </w:tc>
        <w:tc>
          <w:tcPr>
            <w:tcW w:w="2480" w:type="pct"/>
            <w:tcBorders>
              <w:top w:val="inset" w:color="000000" w:sz="6" w:space="0"/>
              <w:left w:val="nil"/>
              <w:bottom w:val="inset" w:color="000000" w:sz="6" w:space="0"/>
              <w:right w:val="inset" w:color="000000" w:sz="6" w:space="0"/>
            </w:tcBorders>
            <w:tcMar>
              <w:top w:w="0" w:type="dxa"/>
              <w:left w:w="0" w:type="dxa"/>
              <w:bottom w:w="0" w:type="dxa"/>
              <w:right w:w="0" w:type="dxa"/>
            </w:tcMar>
            <w:vAlign w:val="center"/>
          </w:tcPr>
          <w:p w14:paraId="2AA334CE">
            <w:pPr>
              <w:keepNext w:val="0"/>
              <w:keepLines w:val="0"/>
              <w:pageBreakBefore w:val="0"/>
              <w:widowControl/>
              <w:kinsoku/>
              <w:overflowPunct/>
              <w:topLinePunct w:val="0"/>
              <w:bidi w:val="0"/>
              <w:spacing w:beforeAutospacing="0" w:after="0" w:afterAutospacing="0"/>
              <w:jc w:val="center"/>
              <w:rPr>
                <w:rFonts w:ascii="宋体" w:hAnsi="宋体" w:cs="宋体"/>
                <w:b/>
                <w:bCs/>
                <w:kern w:val="0"/>
                <w:sz w:val="24"/>
                <w:szCs w:val="24"/>
              </w:rPr>
            </w:pPr>
            <w:r>
              <w:rPr>
                <w:rFonts w:hint="eastAsia" w:ascii="宋体" w:hAnsi="宋体" w:cs="宋体"/>
                <w:b/>
                <w:bCs/>
                <w:kern w:val="0"/>
                <w:sz w:val="24"/>
                <w:szCs w:val="24"/>
              </w:rPr>
              <w:t>货物招标</w:t>
            </w:r>
          </w:p>
        </w:tc>
      </w:tr>
      <w:tr w14:paraId="2DD98424">
        <w:tblPrEx>
          <w:tblCellMar>
            <w:top w:w="15" w:type="dxa"/>
            <w:left w:w="15" w:type="dxa"/>
            <w:bottom w:w="15" w:type="dxa"/>
            <w:right w:w="15" w:type="dxa"/>
          </w:tblCellMar>
        </w:tblPrEx>
        <w:trPr>
          <w:trHeight w:val="210" w:hRule="atLeast"/>
          <w:tblCellSpacing w:w="15" w:type="dxa"/>
        </w:trPr>
        <w:tc>
          <w:tcPr>
            <w:tcW w:w="2470" w:type="pct"/>
            <w:tcBorders>
              <w:top w:val="single" w:color="auto" w:sz="0" w:space="0"/>
              <w:left w:val="inset" w:color="000000" w:sz="6" w:space="0"/>
              <w:bottom w:val="single" w:color="auto" w:sz="0" w:space="0"/>
              <w:right w:val="inset" w:color="000000" w:sz="6" w:space="0"/>
            </w:tcBorders>
            <w:noWrap/>
            <w:tcMar>
              <w:top w:w="0" w:type="dxa"/>
              <w:left w:w="0" w:type="dxa"/>
              <w:bottom w:w="0" w:type="dxa"/>
              <w:right w:w="0" w:type="dxa"/>
            </w:tcMar>
            <w:vAlign w:val="center"/>
          </w:tcPr>
          <w:p w14:paraId="7280E4DD">
            <w:pPr>
              <w:keepNext w:val="0"/>
              <w:keepLines w:val="0"/>
              <w:pageBreakBefore w:val="0"/>
              <w:widowControl/>
              <w:kinsoku/>
              <w:overflowPunct/>
              <w:topLinePunct w:val="0"/>
              <w:bidi w:val="0"/>
              <w:spacing w:beforeAutospacing="0" w:after="0" w:afterAutospacing="0"/>
              <w:jc w:val="center"/>
              <w:rPr>
                <w:rFonts w:ascii="宋体" w:hAnsi="宋体" w:cs="宋体"/>
                <w:kern w:val="0"/>
                <w:sz w:val="24"/>
                <w:szCs w:val="24"/>
              </w:rPr>
            </w:pPr>
            <w:r>
              <w:rPr>
                <w:rFonts w:hint="eastAsia" w:ascii="宋体" w:hAnsi="宋体" w:cs="宋体"/>
                <w:kern w:val="0"/>
                <w:sz w:val="24"/>
                <w:szCs w:val="24"/>
              </w:rPr>
              <w:t>100以下</w:t>
            </w:r>
          </w:p>
        </w:tc>
        <w:tc>
          <w:tcPr>
            <w:tcW w:w="2480" w:type="pct"/>
            <w:tcBorders>
              <w:top w:val="single" w:color="auto" w:sz="0" w:space="0"/>
              <w:left w:val="single" w:color="auto" w:sz="0" w:space="0"/>
              <w:bottom w:val="single" w:color="auto" w:sz="0" w:space="0"/>
              <w:right w:val="inset" w:color="000000" w:sz="6" w:space="0"/>
            </w:tcBorders>
            <w:noWrap/>
            <w:tcMar>
              <w:top w:w="0" w:type="dxa"/>
              <w:left w:w="0" w:type="dxa"/>
              <w:bottom w:w="0" w:type="dxa"/>
              <w:right w:w="0" w:type="dxa"/>
            </w:tcMar>
            <w:vAlign w:val="center"/>
          </w:tcPr>
          <w:p w14:paraId="4A150D4C">
            <w:pPr>
              <w:keepNext w:val="0"/>
              <w:keepLines w:val="0"/>
              <w:pageBreakBefore w:val="0"/>
              <w:widowControl/>
              <w:kinsoku/>
              <w:overflowPunct/>
              <w:topLinePunct w:val="0"/>
              <w:bidi w:val="0"/>
              <w:spacing w:beforeAutospacing="0" w:after="0" w:afterAutospacing="0"/>
              <w:jc w:val="center"/>
              <w:rPr>
                <w:rFonts w:ascii="宋体" w:hAnsi="宋体" w:cs="宋体"/>
                <w:kern w:val="0"/>
                <w:sz w:val="24"/>
                <w:szCs w:val="24"/>
              </w:rPr>
            </w:pPr>
            <w:r>
              <w:rPr>
                <w:rFonts w:hint="eastAsia" w:ascii="宋体" w:hAnsi="宋体" w:cs="宋体"/>
                <w:kern w:val="0"/>
                <w:sz w:val="24"/>
                <w:szCs w:val="24"/>
              </w:rPr>
              <w:t>1.5％</w:t>
            </w:r>
          </w:p>
        </w:tc>
      </w:tr>
      <w:tr w14:paraId="352CF658">
        <w:tblPrEx>
          <w:tblCellMar>
            <w:top w:w="15" w:type="dxa"/>
            <w:left w:w="15" w:type="dxa"/>
            <w:bottom w:w="15" w:type="dxa"/>
            <w:right w:w="15" w:type="dxa"/>
          </w:tblCellMar>
        </w:tblPrEx>
        <w:trPr>
          <w:trHeight w:val="210" w:hRule="atLeast"/>
          <w:tblCellSpacing w:w="15" w:type="dxa"/>
        </w:trPr>
        <w:tc>
          <w:tcPr>
            <w:tcW w:w="2470" w:type="pct"/>
            <w:tcBorders>
              <w:top w:val="single" w:color="auto" w:sz="0" w:space="0"/>
              <w:left w:val="inset" w:color="000000" w:sz="6" w:space="0"/>
              <w:bottom w:val="single" w:color="auto" w:sz="0" w:space="0"/>
              <w:right w:val="inset" w:color="000000" w:sz="6" w:space="0"/>
            </w:tcBorders>
            <w:noWrap/>
            <w:tcMar>
              <w:top w:w="0" w:type="dxa"/>
              <w:left w:w="0" w:type="dxa"/>
              <w:bottom w:w="0" w:type="dxa"/>
              <w:right w:w="0" w:type="dxa"/>
            </w:tcMar>
            <w:vAlign w:val="center"/>
          </w:tcPr>
          <w:p w14:paraId="2A2EF66E">
            <w:pPr>
              <w:keepNext w:val="0"/>
              <w:keepLines w:val="0"/>
              <w:pageBreakBefore w:val="0"/>
              <w:widowControl/>
              <w:kinsoku/>
              <w:overflowPunct/>
              <w:topLinePunct w:val="0"/>
              <w:bidi w:val="0"/>
              <w:spacing w:beforeAutospacing="0" w:after="0" w:afterAutospacing="0" w:line="360" w:lineRule="auto"/>
              <w:jc w:val="center"/>
              <w:rPr>
                <w:rFonts w:ascii="宋体" w:hAnsi="宋体" w:cs="宋体"/>
                <w:kern w:val="0"/>
                <w:sz w:val="24"/>
                <w:szCs w:val="24"/>
              </w:rPr>
            </w:pPr>
            <w:r>
              <w:rPr>
                <w:rFonts w:hint="eastAsia" w:ascii="宋体" w:hAnsi="宋体" w:cs="宋体"/>
                <w:kern w:val="0"/>
                <w:sz w:val="24"/>
                <w:szCs w:val="24"/>
              </w:rPr>
              <w:t>100—500</w:t>
            </w:r>
          </w:p>
        </w:tc>
        <w:tc>
          <w:tcPr>
            <w:tcW w:w="2480" w:type="pct"/>
            <w:tcBorders>
              <w:top w:val="single" w:color="auto" w:sz="0" w:space="0"/>
              <w:left w:val="single" w:color="auto" w:sz="0" w:space="0"/>
              <w:bottom w:val="single" w:color="auto" w:sz="0" w:space="0"/>
              <w:right w:val="inset" w:color="000000" w:sz="6" w:space="0"/>
            </w:tcBorders>
            <w:noWrap/>
            <w:tcMar>
              <w:top w:w="0" w:type="dxa"/>
              <w:left w:w="0" w:type="dxa"/>
              <w:bottom w:w="0" w:type="dxa"/>
              <w:right w:w="0" w:type="dxa"/>
            </w:tcMar>
            <w:vAlign w:val="center"/>
          </w:tcPr>
          <w:p w14:paraId="282B786C">
            <w:pPr>
              <w:keepNext w:val="0"/>
              <w:keepLines w:val="0"/>
              <w:pageBreakBefore w:val="0"/>
              <w:widowControl/>
              <w:kinsoku/>
              <w:overflowPunct/>
              <w:topLinePunct w:val="0"/>
              <w:bidi w:val="0"/>
              <w:spacing w:beforeAutospacing="0" w:after="0" w:afterAutospacing="0" w:line="360" w:lineRule="auto"/>
              <w:jc w:val="center"/>
              <w:rPr>
                <w:rFonts w:ascii="宋体" w:hAnsi="宋体" w:cs="宋体"/>
                <w:kern w:val="0"/>
                <w:sz w:val="24"/>
                <w:szCs w:val="24"/>
              </w:rPr>
            </w:pPr>
            <w:r>
              <w:rPr>
                <w:rFonts w:hint="eastAsia" w:ascii="宋体" w:hAnsi="宋体" w:cs="宋体"/>
                <w:kern w:val="0"/>
                <w:sz w:val="24"/>
                <w:szCs w:val="24"/>
              </w:rPr>
              <w:t>1.1％</w:t>
            </w:r>
          </w:p>
        </w:tc>
      </w:tr>
    </w:tbl>
    <w:p w14:paraId="2F148243">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sz w:val="24"/>
          <w:szCs w:val="24"/>
        </w:rPr>
      </w:pPr>
      <w:r>
        <w:rPr>
          <w:rFonts w:hint="eastAsia" w:ascii="宋体" w:hAnsi="宋体" w:cs="宋体"/>
          <w:b/>
          <w:bCs/>
          <w:sz w:val="24"/>
          <w:szCs w:val="24"/>
        </w:rPr>
        <w:t>（六）联合体投标</w:t>
      </w:r>
    </w:p>
    <w:p w14:paraId="76B3EB0E">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本项目接受联合体投标。</w:t>
      </w:r>
    </w:p>
    <w:p w14:paraId="57EB94CF">
      <w:pPr>
        <w:keepNext w:val="0"/>
        <w:keepLines w:val="0"/>
        <w:pageBreakBefore w:val="0"/>
        <w:kinsoku/>
        <w:overflowPunct/>
        <w:topLinePunct w:val="0"/>
        <w:bidi w:val="0"/>
        <w:spacing w:beforeAutospacing="0" w:after="0" w:afterAutospacing="0" w:line="360" w:lineRule="auto"/>
        <w:ind w:firstLine="470" w:firstLineChars="196"/>
        <w:jc w:val="left"/>
        <w:rPr>
          <w:rFonts w:ascii="宋体" w:hAnsi="宋体" w:cs="宋体"/>
          <w:b/>
          <w:bCs/>
          <w:color w:val="0D0D0D"/>
          <w:sz w:val="24"/>
          <w:szCs w:val="24"/>
        </w:rPr>
      </w:pPr>
      <w:r>
        <w:rPr>
          <w:rFonts w:hint="eastAsia" w:ascii="宋体" w:hAnsi="宋体" w:cs="宋体"/>
          <w:b/>
          <w:bCs/>
          <w:color w:val="0D0D0D"/>
          <w:sz w:val="24"/>
          <w:szCs w:val="24"/>
        </w:rPr>
        <w:t>（七）转包与分包</w:t>
      </w:r>
    </w:p>
    <w:p w14:paraId="1A45403C">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1.本项目不允许转包。</w:t>
      </w:r>
    </w:p>
    <w:p w14:paraId="60F44271">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2.本项目可以分包。</w:t>
      </w:r>
    </w:p>
    <w:p w14:paraId="73138C1F">
      <w:pPr>
        <w:keepNext w:val="0"/>
        <w:keepLines w:val="0"/>
        <w:pageBreakBefore w:val="0"/>
        <w:kinsoku/>
        <w:overflowPunct/>
        <w:topLinePunct w:val="0"/>
        <w:bidi w:val="0"/>
        <w:spacing w:beforeAutospacing="0" w:after="0" w:afterAutospacing="0" w:line="360" w:lineRule="auto"/>
        <w:ind w:firstLine="470" w:firstLineChars="196"/>
        <w:jc w:val="left"/>
        <w:outlineLvl w:val="2"/>
        <w:rPr>
          <w:rFonts w:ascii="宋体" w:hAnsi="宋体" w:cs="宋体"/>
          <w:b/>
          <w:bCs/>
          <w:color w:val="0D0D0D"/>
          <w:sz w:val="24"/>
          <w:szCs w:val="24"/>
        </w:rPr>
      </w:pPr>
      <w:r>
        <w:rPr>
          <w:rFonts w:hint="eastAsia" w:ascii="宋体" w:hAnsi="宋体" w:cs="宋体"/>
          <w:b/>
          <w:bCs/>
          <w:color w:val="0D0D0D"/>
          <w:sz w:val="24"/>
          <w:szCs w:val="24"/>
        </w:rPr>
        <w:t>（八）特别说明：</w:t>
      </w:r>
    </w:p>
    <w:p w14:paraId="68B6B8BB">
      <w:pPr>
        <w:keepNext w:val="0"/>
        <w:keepLines w:val="0"/>
        <w:pageBreakBefore w:val="0"/>
        <w:widowControl/>
        <w:kinsoku/>
        <w:overflowPunct/>
        <w:topLinePunct w:val="0"/>
        <w:bidi w:val="0"/>
        <w:spacing w:beforeAutospacing="0" w:after="0" w:afterAutospacing="0" w:line="360" w:lineRule="auto"/>
        <w:ind w:firstLine="480" w:firstLineChars="200"/>
        <w:jc w:val="left"/>
        <w:rPr>
          <w:rFonts w:ascii="宋体" w:hAnsi="宋体" w:cs="宋体"/>
          <w:color w:val="0D0D0D"/>
          <w:sz w:val="24"/>
        </w:rPr>
      </w:pPr>
      <w:r>
        <w:rPr>
          <w:rFonts w:hint="eastAsia" w:ascii="宋体" w:hAnsi="宋体" w:cs="宋体"/>
          <w:sz w:val="24"/>
          <w:szCs w:val="24"/>
        </w:rPr>
        <w:t>▲1.</w:t>
      </w:r>
      <w:r>
        <w:rPr>
          <w:rFonts w:hint="eastAsia" w:ascii="宋体" w:hAnsi="宋体" w:cs="宋体"/>
          <w:color w:val="0D0D0D"/>
          <w:sz w:val="24"/>
        </w:rPr>
        <w:t>多家供应商参加同一政府采购项目竞争的，如其中两家或两家以上供应商的法定代表人为同一人或相互之间存在投资关系且达到控股的，同时提供的是同一品牌的产品的，应当按一家供应商认定。评审时，取其中通过资格审查后的报价最低一家为有效供应商；当报价相同时，则以技术标最优一家为有效供应商；均相同时，由评审小组集体决定。</w:t>
      </w:r>
    </w:p>
    <w:p w14:paraId="46A614A2">
      <w:pPr>
        <w:keepNext w:val="0"/>
        <w:keepLines w:val="0"/>
        <w:pageBreakBefore w:val="0"/>
        <w:widowControl/>
        <w:kinsoku/>
        <w:overflowPunct/>
        <w:topLinePunct w:val="0"/>
        <w:bidi w:val="0"/>
        <w:spacing w:beforeAutospacing="0" w:after="0" w:afterAutospacing="0" w:line="360" w:lineRule="auto"/>
        <w:ind w:firstLine="480" w:firstLineChars="200"/>
        <w:jc w:val="left"/>
        <w:rPr>
          <w:rFonts w:ascii="宋体" w:hAnsi="宋体" w:cs="宋体"/>
          <w:sz w:val="24"/>
        </w:rPr>
      </w:pPr>
      <w:r>
        <w:rPr>
          <w:rFonts w:hint="eastAsia" w:ascii="宋体" w:hAnsi="宋体" w:cs="宋体"/>
          <w:sz w:val="24"/>
        </w:rPr>
        <w:t>非单一产品采购项目中，作为关键核心部分的单一产品品牌、型号均相同且报价占项目总报价50%以上（含本数，下同）的，视为提供的是同品牌的产品；多家供应商中，有一家供应商的报价达到50%以上，提供同品牌同型号产品的供应商均按一家供应商认定。</w:t>
      </w:r>
    </w:p>
    <w:p w14:paraId="0873D22D">
      <w:pPr>
        <w:keepNext w:val="0"/>
        <w:keepLines w:val="0"/>
        <w:pageBreakBefore w:val="0"/>
        <w:widowControl/>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2.（1）投标人投标所使用的资格、信誉、荣誉、业绩与企业认证必须为本法人所拥有。</w:t>
      </w:r>
    </w:p>
    <w:p w14:paraId="6BB85A74">
      <w:pPr>
        <w:keepNext w:val="0"/>
        <w:keepLines w:val="0"/>
        <w:pageBreakBefore w:val="0"/>
        <w:widowControl/>
        <w:kinsoku/>
        <w:overflowPunct/>
        <w:topLinePunct w:val="0"/>
        <w:bidi w:val="0"/>
        <w:spacing w:beforeAutospacing="0" w:after="0" w:afterAutospacing="0" w:line="360" w:lineRule="auto"/>
        <w:ind w:firstLine="720" w:firstLineChars="300"/>
        <w:jc w:val="left"/>
        <w:rPr>
          <w:rFonts w:ascii="宋体" w:hAnsi="宋体" w:cs="宋体"/>
          <w:sz w:val="24"/>
          <w:szCs w:val="24"/>
        </w:rPr>
      </w:pPr>
      <w:r>
        <w:rPr>
          <w:rFonts w:hint="eastAsia" w:ascii="宋体" w:hAnsi="宋体" w:cs="宋体"/>
          <w:sz w:val="24"/>
          <w:szCs w:val="24"/>
        </w:rPr>
        <w:t>（2）投标人投标所使用的采购项目实施人员必须为本法人员工（或必须为其分公司或其控股公司正式员工）。</w:t>
      </w:r>
    </w:p>
    <w:p w14:paraId="758CE882">
      <w:pPr>
        <w:keepNext w:val="0"/>
        <w:keepLines w:val="0"/>
        <w:pageBreakBefore w:val="0"/>
        <w:widowControl/>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sz w:val="24"/>
          <w:szCs w:val="24"/>
        </w:rPr>
        <w:t>▲3.投标人应仔细阅读招标文件的所有内容，按照招标文件的要求提交投标文件</w:t>
      </w:r>
      <w:r>
        <w:rPr>
          <w:rFonts w:hint="eastAsia" w:ascii="宋体" w:hAnsi="宋体" w:cs="宋体"/>
          <w:color w:val="0D0D0D"/>
          <w:sz w:val="24"/>
          <w:szCs w:val="24"/>
        </w:rPr>
        <w:t>，并对所提供的全部资料的真实性承担法律责任。</w:t>
      </w:r>
    </w:p>
    <w:p w14:paraId="13A8F7E0">
      <w:pPr>
        <w:keepNext w:val="0"/>
        <w:keepLines w:val="0"/>
        <w:pageBreakBefore w:val="0"/>
        <w:widowControl/>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▲4.投标人在投标活动中提供任何虚假材料,其投标无效，并报监管部门查处。</w:t>
      </w:r>
    </w:p>
    <w:p w14:paraId="08B3CB37">
      <w:pPr>
        <w:pStyle w:val="28"/>
        <w:keepNext w:val="0"/>
        <w:keepLines w:val="0"/>
        <w:pageBreakBefore w:val="0"/>
        <w:kinsoku/>
        <w:overflowPunct/>
        <w:topLinePunct w:val="0"/>
        <w:bidi w:val="0"/>
        <w:spacing w:beforeLines="0" w:beforeAutospacing="0" w:after="0" w:afterLines="0" w:afterAutospacing="0" w:line="360" w:lineRule="auto"/>
        <w:ind w:firstLine="470" w:firstLineChars="196"/>
        <w:jc w:val="left"/>
        <w:outlineLvl w:val="2"/>
        <w:rPr>
          <w:rFonts w:hAnsi="宋体"/>
          <w:b/>
          <w:bCs/>
          <w:color w:val="0D0D0D"/>
        </w:rPr>
      </w:pPr>
      <w:r>
        <w:rPr>
          <w:rFonts w:hint="eastAsia" w:hAnsi="宋体"/>
          <w:b/>
          <w:bCs/>
          <w:color w:val="0D0D0D"/>
        </w:rPr>
        <w:t>（九）质疑和投诉</w:t>
      </w:r>
    </w:p>
    <w:p w14:paraId="5E4A84F4">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color w:val="0D0D0D"/>
        </w:rPr>
      </w:pPr>
      <w:r>
        <w:rPr>
          <w:rFonts w:hint="eastAsia" w:hAnsi="宋体"/>
          <w:color w:val="0D0D0D"/>
        </w:rPr>
        <w:t>1.投标人认为招标文件、招标过程或中标结果使自己的合法权益受到损害，应当在知道或者应知其权益受到损害之日起七个工作日内，以书面形式向采购人、招标方提出质疑。投标人对招标采购单位的质疑答复不满意或者招标采购单位未在规定时间内作出答复的，可在答复期满后十五个工作日内向同级采购监管部门投诉。</w:t>
      </w:r>
    </w:p>
    <w:p w14:paraId="0F5D6599">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color w:val="0D0D0D"/>
        </w:rPr>
      </w:pPr>
      <w:r>
        <w:rPr>
          <w:rFonts w:hint="eastAsia" w:hAnsi="宋体"/>
          <w:color w:val="0D0D0D"/>
        </w:rPr>
        <w:t>2.质疑、投诉应当采用书面形式，质疑书、投诉书均应明确阐述招标文件、招标过程或中标结果中使自己合法权益受到损害的实质性内容，提供相关事实、依据和证据及其来源或线索，便于有关单位调查、答复和处理。</w:t>
      </w:r>
    </w:p>
    <w:p w14:paraId="1A3A2303">
      <w:pPr>
        <w:pStyle w:val="28"/>
        <w:keepNext w:val="0"/>
        <w:keepLines w:val="0"/>
        <w:pageBreakBefore w:val="0"/>
        <w:kinsoku/>
        <w:overflowPunct/>
        <w:topLinePunct w:val="0"/>
        <w:bidi w:val="0"/>
        <w:spacing w:beforeLines="0" w:beforeAutospacing="0" w:after="0" w:afterLines="0" w:afterAutospacing="0" w:line="360" w:lineRule="auto"/>
        <w:outlineLvl w:val="1"/>
        <w:rPr>
          <w:rFonts w:hAnsi="宋体"/>
          <w:b/>
          <w:bCs/>
          <w:color w:val="0D0D0D"/>
        </w:rPr>
      </w:pPr>
      <w:r>
        <w:rPr>
          <w:rFonts w:hint="eastAsia" w:hAnsi="宋体"/>
          <w:b/>
          <w:bCs/>
          <w:color w:val="0D0D0D"/>
        </w:rPr>
        <w:t>二、招标文件</w:t>
      </w:r>
    </w:p>
    <w:p w14:paraId="6633AAA4">
      <w:pPr>
        <w:keepNext w:val="0"/>
        <w:keepLines w:val="0"/>
        <w:pageBreakBefore w:val="0"/>
        <w:kinsoku/>
        <w:overflowPunct/>
        <w:topLinePunct w:val="0"/>
        <w:bidi w:val="0"/>
        <w:spacing w:beforeAutospacing="0" w:after="0" w:afterAutospacing="0" w:line="360" w:lineRule="auto"/>
        <w:ind w:firstLine="470" w:firstLineChars="196"/>
        <w:jc w:val="left"/>
        <w:outlineLvl w:val="2"/>
        <w:rPr>
          <w:rFonts w:ascii="宋体" w:hAnsi="宋体" w:cs="宋体"/>
          <w:b/>
          <w:bCs/>
          <w:color w:val="0D0D0D"/>
          <w:sz w:val="24"/>
          <w:szCs w:val="24"/>
        </w:rPr>
      </w:pPr>
      <w:r>
        <w:rPr>
          <w:rFonts w:hint="eastAsia" w:ascii="宋体" w:hAnsi="宋体" w:cs="宋体"/>
          <w:b/>
          <w:bCs/>
          <w:color w:val="0D0D0D"/>
          <w:sz w:val="24"/>
          <w:szCs w:val="24"/>
        </w:rPr>
        <w:t>（一）招标文件的构成。本招标文件由以下部分组成：</w:t>
      </w:r>
    </w:p>
    <w:p w14:paraId="0FFDB64A">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1.招标公告</w:t>
      </w:r>
    </w:p>
    <w:p w14:paraId="15ADE0C2">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2.招标需求</w:t>
      </w:r>
    </w:p>
    <w:p w14:paraId="72F28FDB">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3.投标人须知</w:t>
      </w:r>
    </w:p>
    <w:p w14:paraId="34BD0F32">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4.评标办法及标准</w:t>
      </w:r>
    </w:p>
    <w:p w14:paraId="2F2CC922">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5.合同主要条款</w:t>
      </w:r>
    </w:p>
    <w:p w14:paraId="3F301B36">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6.投标文件格式</w:t>
      </w:r>
    </w:p>
    <w:p w14:paraId="1D1DAEF2">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7.本项目招标文件的澄清、答复、修改、补充的内容</w:t>
      </w:r>
    </w:p>
    <w:p w14:paraId="5D14481F">
      <w:pPr>
        <w:keepNext w:val="0"/>
        <w:keepLines w:val="0"/>
        <w:pageBreakBefore w:val="0"/>
        <w:kinsoku/>
        <w:overflowPunct/>
        <w:topLinePunct w:val="0"/>
        <w:bidi w:val="0"/>
        <w:spacing w:beforeAutospacing="0" w:after="0" w:afterAutospacing="0" w:line="360" w:lineRule="auto"/>
        <w:ind w:firstLine="470" w:firstLineChars="196"/>
        <w:jc w:val="left"/>
        <w:outlineLvl w:val="2"/>
        <w:rPr>
          <w:rFonts w:ascii="宋体" w:hAnsi="宋体" w:cs="宋体"/>
          <w:b/>
          <w:bCs/>
          <w:color w:val="0D0D0D"/>
          <w:sz w:val="24"/>
          <w:szCs w:val="24"/>
        </w:rPr>
      </w:pPr>
      <w:r>
        <w:rPr>
          <w:rFonts w:hint="eastAsia" w:ascii="宋体" w:hAnsi="宋体" w:cs="宋体"/>
          <w:b/>
          <w:bCs/>
          <w:color w:val="0D0D0D"/>
          <w:sz w:val="24"/>
          <w:szCs w:val="24"/>
        </w:rPr>
        <w:t>（二）投标人的风险</w:t>
      </w:r>
    </w:p>
    <w:p w14:paraId="4EF0B062">
      <w:pPr>
        <w:pStyle w:val="38"/>
        <w:keepNext w:val="0"/>
        <w:keepLines w:val="0"/>
        <w:pageBreakBefore w:val="0"/>
        <w:kinsoku/>
        <w:overflowPunct/>
        <w:topLinePunct w:val="0"/>
        <w:bidi w:val="0"/>
        <w:snapToGrid/>
        <w:spacing w:beforeAutospacing="0" w:after="0" w:afterAutospacing="0" w:line="360" w:lineRule="auto"/>
        <w:rPr>
          <w:rFonts w:ascii="宋体" w:eastAsia="宋体" w:cs="宋体"/>
          <w:color w:val="0D0D0D"/>
        </w:rPr>
      </w:pPr>
      <w:r>
        <w:rPr>
          <w:rFonts w:hint="eastAsia" w:ascii="宋体" w:eastAsia="宋体" w:cs="宋体"/>
          <w:color w:val="0D0D0D"/>
        </w:rPr>
        <w:t>投标人没有按照招标文件要求提供全部资料，或者投标人没有对招标文件在各方面作出实质性响应是投标人的风险，并可能导致其投标被拒绝。</w:t>
      </w:r>
    </w:p>
    <w:p w14:paraId="67951D6B">
      <w:pPr>
        <w:pStyle w:val="14"/>
        <w:keepNext w:val="0"/>
        <w:keepLines w:val="0"/>
        <w:pageBreakBefore w:val="0"/>
        <w:widowControl w:val="0"/>
        <w:tabs>
          <w:tab w:val="clear" w:pos="454"/>
        </w:tabs>
        <w:kinsoku/>
        <w:overflowPunct/>
        <w:topLinePunct w:val="0"/>
        <w:bidi w:val="0"/>
        <w:spacing w:beforeAutospacing="0" w:after="0" w:afterLines="0" w:afterAutospacing="0" w:line="360" w:lineRule="auto"/>
        <w:ind w:left="0" w:firstLine="470" w:firstLineChars="196"/>
        <w:outlineLvl w:val="2"/>
        <w:rPr>
          <w:rFonts w:ascii="宋体" w:hAnsi="宋体" w:cs="宋体"/>
          <w:b/>
          <w:bCs/>
          <w:color w:val="0D0D0D"/>
        </w:rPr>
      </w:pPr>
      <w:r>
        <w:rPr>
          <w:rFonts w:hint="eastAsia" w:ascii="宋体" w:hAnsi="宋体" w:cs="宋体"/>
          <w:b/>
          <w:bCs/>
          <w:color w:val="0D0D0D"/>
        </w:rPr>
        <w:t>（三）招标文件的澄清与修改</w:t>
      </w:r>
    </w:p>
    <w:p w14:paraId="46A8B36F">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color w:val="0D0D0D"/>
        </w:rPr>
      </w:pPr>
      <w:r>
        <w:rPr>
          <w:rFonts w:hint="eastAsia" w:hAnsi="宋体"/>
          <w:color w:val="0D0D0D"/>
        </w:rPr>
        <w:t>1.投标人应认真阅读本招标文件，发现其中有误或有不合理要求的，投标人必须在</w:t>
      </w:r>
      <w:r>
        <w:rPr>
          <w:rFonts w:hint="eastAsia" w:hAnsi="宋体"/>
          <w:bCs/>
          <w:u w:val="single"/>
        </w:rPr>
        <w:t>2024年</w:t>
      </w:r>
      <w:r>
        <w:rPr>
          <w:rFonts w:hint="eastAsia" w:hAnsi="宋体"/>
          <w:bCs/>
          <w:u w:val="single"/>
          <w:lang w:val="en-US" w:eastAsia="zh-CN"/>
        </w:rPr>
        <w:t>10</w:t>
      </w:r>
      <w:r>
        <w:rPr>
          <w:rFonts w:hint="eastAsia" w:hAnsi="宋体"/>
          <w:bCs/>
          <w:u w:val="single"/>
        </w:rPr>
        <w:t xml:space="preserve"> 月</w:t>
      </w:r>
      <w:r>
        <w:rPr>
          <w:rFonts w:hint="eastAsia" w:hAnsi="宋体"/>
          <w:bCs/>
          <w:u w:val="single"/>
          <w:lang w:val="en-US" w:eastAsia="zh-CN"/>
        </w:rPr>
        <w:t>8</w:t>
      </w:r>
      <w:r>
        <w:rPr>
          <w:rFonts w:hint="eastAsia" w:hAnsi="宋体"/>
          <w:bCs/>
          <w:u w:val="single"/>
        </w:rPr>
        <w:t>日</w:t>
      </w:r>
      <w:r>
        <w:rPr>
          <w:rFonts w:hint="eastAsia" w:hAnsi="宋体"/>
          <w:color w:val="0D0D0D"/>
        </w:rPr>
        <w:t>17：00前以书面形式要求招标采购单位澄清。招标方对已发出的招标文件进行必要澄清、答复、修改或补充的，将于投标截止日期5天前在财政部门指定的政府采购信息发布媒体上发布更正公告，不另作通知。如果答疑、澄清或修改的内容可能影响投标文件编制的，招标采购单位将于投标截止日期15天前以网上公告的形式通知所有已报名的投标人，答疑内容是招标文件的组成部分。</w:t>
      </w:r>
    </w:p>
    <w:p w14:paraId="506186B1">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color w:val="0D0D0D"/>
        </w:rPr>
      </w:pPr>
      <w:r>
        <w:rPr>
          <w:rFonts w:hint="eastAsia" w:hAnsi="宋体"/>
          <w:color w:val="0D0D0D"/>
        </w:rPr>
        <w:t>2.招标方必须以书面形式答复投标人要求澄清的问题，并将不包含问题来源的答复书面通知所有购买招标文件的投标人，除书面答复以外的其他澄清方式及澄清内容均无效。</w:t>
      </w:r>
    </w:p>
    <w:p w14:paraId="61CB9222">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color w:val="0D0D0D"/>
        </w:rPr>
      </w:pPr>
      <w:r>
        <w:rPr>
          <w:rFonts w:hint="eastAsia" w:hAnsi="宋体"/>
          <w:color w:val="0D0D0D"/>
        </w:rPr>
        <w:t>3.招标文件澄清、答复、修改、补充的内容为招标文件的组成部分。当招标文件与招标文件的答复、澄清、修改、补充通知就同一内容的表述不一致时，以最后发出的书面文件为准。</w:t>
      </w:r>
    </w:p>
    <w:p w14:paraId="6949234C">
      <w:pPr>
        <w:pStyle w:val="28"/>
        <w:keepNext w:val="0"/>
        <w:keepLines w:val="0"/>
        <w:pageBreakBefore w:val="0"/>
        <w:kinsoku/>
        <w:overflowPunct/>
        <w:topLinePunct w:val="0"/>
        <w:bidi w:val="0"/>
        <w:spacing w:beforeLines="0" w:beforeAutospacing="0" w:after="0" w:afterLines="0" w:afterAutospacing="0" w:line="360" w:lineRule="auto"/>
        <w:ind w:firstLine="480" w:firstLineChars="200"/>
        <w:jc w:val="left"/>
        <w:outlineLvl w:val="1"/>
        <w:rPr>
          <w:rFonts w:hAnsi="宋体"/>
          <w:b/>
          <w:bCs/>
        </w:rPr>
      </w:pPr>
      <w:r>
        <w:rPr>
          <w:rFonts w:hint="eastAsia" w:hAnsi="宋体"/>
          <w:color w:val="0D0D0D"/>
        </w:rPr>
        <w:t>4.招标文件的澄清、答复、修改或补充都应该通过本招标机构以法定形式发布，采购人非通过本机构，不得擅自澄清、答复、修改或补充招标文件。</w:t>
      </w:r>
    </w:p>
    <w:p w14:paraId="0E7F2071">
      <w:pPr>
        <w:pStyle w:val="28"/>
        <w:keepNext w:val="0"/>
        <w:keepLines w:val="0"/>
        <w:pageBreakBefore w:val="0"/>
        <w:kinsoku/>
        <w:overflowPunct/>
        <w:topLinePunct w:val="0"/>
        <w:bidi w:val="0"/>
        <w:spacing w:beforeLines="0" w:beforeAutospacing="0" w:after="0" w:afterLines="0" w:afterAutospacing="0" w:line="360" w:lineRule="auto"/>
        <w:rPr>
          <w:rFonts w:hAnsi="宋体"/>
          <w:b/>
          <w:bCs/>
          <w:color w:val="0D0D0D"/>
        </w:rPr>
      </w:pPr>
      <w:r>
        <w:rPr>
          <w:rFonts w:hint="eastAsia" w:hAnsi="宋体"/>
          <w:b/>
          <w:bCs/>
          <w:color w:val="0D0D0D"/>
        </w:rPr>
        <w:t>三、投标文件的编制</w:t>
      </w:r>
    </w:p>
    <w:p w14:paraId="11A1C76A">
      <w:pPr>
        <w:keepNext w:val="0"/>
        <w:keepLines w:val="0"/>
        <w:pageBreakBefore w:val="0"/>
        <w:kinsoku/>
        <w:overflowPunct/>
        <w:topLinePunct w:val="0"/>
        <w:bidi w:val="0"/>
        <w:spacing w:beforeAutospacing="0" w:after="0" w:afterAutospacing="0" w:line="360" w:lineRule="auto"/>
        <w:ind w:firstLine="470" w:firstLineChars="196"/>
        <w:jc w:val="left"/>
        <w:outlineLvl w:val="0"/>
        <w:rPr>
          <w:rFonts w:ascii="宋体" w:hAnsi="宋体" w:cs="宋体"/>
          <w:b/>
          <w:bCs/>
          <w:sz w:val="24"/>
          <w:szCs w:val="24"/>
        </w:rPr>
      </w:pPr>
      <w:r>
        <w:rPr>
          <w:rFonts w:hint="eastAsia" w:ascii="宋体" w:hAnsi="宋体" w:cs="宋体"/>
          <w:b/>
          <w:bCs/>
          <w:sz w:val="24"/>
          <w:szCs w:val="24"/>
        </w:rPr>
        <w:t>（一）投标文件的组成</w:t>
      </w:r>
    </w:p>
    <w:p w14:paraId="2233653A">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sz w:val="24"/>
          <w:szCs w:val="24"/>
        </w:rPr>
      </w:pPr>
      <w:r>
        <w:rPr>
          <w:rFonts w:hint="eastAsia" w:ascii="宋体" w:hAnsi="宋体" w:cs="宋体"/>
          <w:b/>
          <w:bCs/>
          <w:sz w:val="24"/>
          <w:szCs w:val="24"/>
        </w:rPr>
        <w:t>投标文件</w:t>
      </w:r>
      <w:r>
        <w:rPr>
          <w:rFonts w:hint="eastAsia" w:ascii="宋体" w:hAnsi="宋体" w:cs="宋体"/>
          <w:sz w:val="24"/>
          <w:szCs w:val="24"/>
        </w:rPr>
        <w:t>（</w:t>
      </w:r>
      <w:r>
        <w:rPr>
          <w:rFonts w:hint="eastAsia" w:ascii="宋体" w:hAnsi="宋体" w:cs="宋体"/>
          <w:b/>
          <w:bCs/>
          <w:sz w:val="24"/>
          <w:szCs w:val="24"/>
        </w:rPr>
        <w:t>包含电子投标文件和电子备份投标文件</w:t>
      </w:r>
      <w:r>
        <w:rPr>
          <w:rFonts w:hint="eastAsia" w:ascii="宋体" w:hAnsi="宋体" w:cs="宋体"/>
          <w:sz w:val="24"/>
          <w:szCs w:val="24"/>
        </w:rPr>
        <w:t>）</w:t>
      </w:r>
      <w:r>
        <w:rPr>
          <w:rFonts w:hint="eastAsia" w:ascii="宋体" w:hAnsi="宋体" w:cs="宋体"/>
          <w:b/>
          <w:bCs/>
          <w:sz w:val="24"/>
          <w:szCs w:val="24"/>
        </w:rPr>
        <w:t>由资格审查资料、资信商务及技术文件、投标报价文件三部份组成。其中电子投标文件中所须加盖公章部分均采用CA签章。</w:t>
      </w:r>
    </w:p>
    <w:p w14:paraId="3A85422D">
      <w:pPr>
        <w:keepNext w:val="0"/>
        <w:keepLines w:val="0"/>
        <w:pageBreakBefore w:val="0"/>
        <w:kinsoku/>
        <w:overflowPunct/>
        <w:topLinePunct w:val="0"/>
        <w:bidi w:val="0"/>
        <w:spacing w:beforeAutospacing="0" w:after="0" w:afterAutospacing="0" w:line="360" w:lineRule="auto"/>
        <w:ind w:firstLine="540" w:firstLineChars="225"/>
        <w:rPr>
          <w:rFonts w:ascii="宋体" w:hAnsi="宋体" w:cs="宋体"/>
          <w:b/>
          <w:bCs/>
          <w:sz w:val="24"/>
          <w:szCs w:val="24"/>
        </w:rPr>
      </w:pPr>
      <w:r>
        <w:rPr>
          <w:rFonts w:hint="eastAsia" w:ascii="宋体" w:hAnsi="宋体" w:cs="宋体"/>
          <w:b/>
          <w:bCs/>
          <w:sz w:val="24"/>
          <w:szCs w:val="24"/>
        </w:rPr>
        <w:t>1、资格审查资料：</w:t>
      </w:r>
    </w:p>
    <w:p w14:paraId="7975162E">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（1）有效的企业法人营业执照副本原件复印件；</w:t>
      </w:r>
    </w:p>
    <w:p w14:paraId="0A1B1EF4">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（2) 法定代表人授权委托书及经办人身份证原件复印件；</w:t>
      </w:r>
    </w:p>
    <w:p w14:paraId="7F90BBA0">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hAnsi="宋体" w:cs="宋体"/>
          <w:sz w:val="24"/>
          <w:szCs w:val="24"/>
        </w:rPr>
        <w:t>（</w:t>
      </w:r>
      <w:r>
        <w:rPr>
          <w:rFonts w:hint="eastAsia" w:ascii="宋体" w:hAnsi="宋体"/>
          <w:sz w:val="24"/>
        </w:rPr>
        <w:t>3）中小企业声明函</w:t>
      </w:r>
      <w:r>
        <w:rPr>
          <w:rFonts w:ascii="宋体" w:hAnsi="宋体"/>
          <w:sz w:val="24"/>
        </w:rPr>
        <w:t>(</w:t>
      </w:r>
      <w:r>
        <w:rPr>
          <w:rFonts w:hint="eastAsia" w:ascii="宋体" w:hAnsi="宋体"/>
          <w:sz w:val="24"/>
        </w:rPr>
        <w:t>格式见附件2</w:t>
      </w:r>
      <w:r>
        <w:rPr>
          <w:rFonts w:ascii="宋体" w:hAnsi="宋体"/>
          <w:sz w:val="24"/>
        </w:rPr>
        <w:t>.5)</w:t>
      </w:r>
      <w:r>
        <w:rPr>
          <w:rFonts w:hint="eastAsia" w:ascii="宋体" w:hAnsi="宋体"/>
          <w:sz w:val="24"/>
        </w:rPr>
        <w:t>；</w:t>
      </w:r>
    </w:p>
    <w:p w14:paraId="6A74E4A3">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hAnsi="宋体" w:cs="宋体"/>
          <w:sz w:val="24"/>
          <w:szCs w:val="24"/>
        </w:rPr>
        <w:t>（</w:t>
      </w:r>
      <w:r>
        <w:rPr>
          <w:rFonts w:hint="eastAsia" w:ascii="宋体" w:hAnsi="宋体"/>
          <w:spacing w:val="6"/>
          <w:sz w:val="24"/>
        </w:rPr>
        <w:t>4）残疾人福利性单位声明函（</w:t>
      </w:r>
      <w:r>
        <w:rPr>
          <w:rFonts w:hint="eastAsia" w:ascii="宋体" w:hAnsi="宋体"/>
          <w:b/>
          <w:spacing w:val="6"/>
          <w:sz w:val="24"/>
        </w:rPr>
        <w:t>如有</w:t>
      </w:r>
      <w:r>
        <w:rPr>
          <w:rFonts w:hint="eastAsia" w:ascii="宋体" w:hAnsi="宋体"/>
          <w:spacing w:val="6"/>
          <w:sz w:val="24"/>
        </w:rPr>
        <w:t>）</w:t>
      </w:r>
      <w:r>
        <w:rPr>
          <w:rFonts w:ascii="宋体" w:hAnsi="宋体"/>
          <w:sz w:val="24"/>
        </w:rPr>
        <w:t>(</w:t>
      </w:r>
      <w:r>
        <w:rPr>
          <w:rFonts w:hint="eastAsia" w:ascii="宋体" w:hAnsi="宋体"/>
          <w:sz w:val="24"/>
        </w:rPr>
        <w:t>格式见附件2</w:t>
      </w:r>
      <w:r>
        <w:rPr>
          <w:rFonts w:ascii="宋体" w:hAnsi="宋体"/>
          <w:sz w:val="24"/>
        </w:rPr>
        <w:t>.6)</w:t>
      </w:r>
      <w:r>
        <w:rPr>
          <w:rFonts w:hint="eastAsia" w:ascii="宋体" w:hAnsi="宋体"/>
          <w:sz w:val="24"/>
        </w:rPr>
        <w:t>；</w:t>
      </w:r>
    </w:p>
    <w:p w14:paraId="3570C0DB">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hAnsi="宋体"/>
          <w:sz w:val="24"/>
        </w:rPr>
      </w:pPr>
      <w:r>
        <w:rPr>
          <w:rFonts w:hint="eastAsia" w:ascii="宋体" w:hAnsi="宋体" w:cs="宋体"/>
          <w:sz w:val="24"/>
          <w:szCs w:val="24"/>
        </w:rPr>
        <w:t>（</w:t>
      </w:r>
      <w:r>
        <w:rPr>
          <w:rFonts w:hint="eastAsia" w:ascii="宋体" w:hAnsi="宋体" w:cs="仿宋_GB2312"/>
          <w:sz w:val="24"/>
        </w:rPr>
        <w:t>5）监狱企业证明文件</w:t>
      </w:r>
      <w:r>
        <w:rPr>
          <w:rFonts w:hint="eastAsia" w:ascii="宋体" w:hAnsi="宋体"/>
          <w:spacing w:val="6"/>
          <w:sz w:val="24"/>
        </w:rPr>
        <w:t>（</w:t>
      </w:r>
      <w:r>
        <w:rPr>
          <w:rFonts w:hint="eastAsia" w:ascii="宋体" w:hAnsi="宋体"/>
          <w:b/>
          <w:spacing w:val="6"/>
          <w:sz w:val="24"/>
        </w:rPr>
        <w:t>如有</w:t>
      </w:r>
      <w:r>
        <w:rPr>
          <w:rFonts w:hint="eastAsia" w:ascii="宋体" w:hAnsi="宋体"/>
          <w:spacing w:val="6"/>
          <w:sz w:val="24"/>
        </w:rPr>
        <w:t>）</w:t>
      </w:r>
      <w:r>
        <w:rPr>
          <w:rFonts w:ascii="宋体" w:hAnsi="宋体"/>
          <w:sz w:val="24"/>
        </w:rPr>
        <w:t>(</w:t>
      </w:r>
      <w:r>
        <w:rPr>
          <w:rFonts w:hint="eastAsia" w:ascii="宋体" w:hAnsi="宋体"/>
          <w:sz w:val="24"/>
        </w:rPr>
        <w:t>格式自拟</w:t>
      </w:r>
      <w:r>
        <w:rPr>
          <w:rFonts w:ascii="宋体" w:hAnsi="宋体"/>
          <w:sz w:val="24"/>
        </w:rPr>
        <w:t>)</w:t>
      </w:r>
      <w:r>
        <w:rPr>
          <w:rFonts w:hint="eastAsia" w:ascii="宋体" w:hAnsi="宋体"/>
          <w:sz w:val="24"/>
        </w:rPr>
        <w:t>；</w:t>
      </w:r>
    </w:p>
    <w:p w14:paraId="7AB81FF2">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（6) 合格投标人资格要求的相关文件复印件；</w:t>
      </w:r>
    </w:p>
    <w:p w14:paraId="7CB2F830">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（7) 投标人认为有必要提供的其它文件。</w:t>
      </w:r>
    </w:p>
    <w:p w14:paraId="51378C53">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b/>
          <w:bCs/>
          <w:sz w:val="24"/>
          <w:szCs w:val="24"/>
        </w:rPr>
        <w:t>备注：</w:t>
      </w:r>
    </w:p>
    <w:p w14:paraId="73E8E63C">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sz w:val="24"/>
          <w:szCs w:val="24"/>
        </w:rPr>
      </w:pPr>
      <w:r>
        <w:rPr>
          <w:rFonts w:hint="eastAsia" w:ascii="宋体" w:hAnsi="宋体" w:cs="宋体"/>
          <w:sz w:val="24"/>
          <w:szCs w:val="24"/>
        </w:rPr>
        <w:t>投标人应未被列入失信被执行人名单、重大税收违法案件当事人名单、政府采购严重违法失信行为记录名单，信用信息以投标截止日信用中国网站(https://www.creditchina.gov.cn/)、中国政府采购网（http://www.ccgp.gov.cn/）公布为准；</w:t>
      </w:r>
    </w:p>
    <w:p w14:paraId="32E77AE3">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b/>
          <w:bCs/>
          <w:sz w:val="24"/>
          <w:szCs w:val="24"/>
        </w:rPr>
        <w:t>2、资信商务及技术文件：</w:t>
      </w:r>
    </w:p>
    <w:p w14:paraId="2B3853CA">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）评分响应表（格式见附件2.</w:t>
      </w:r>
      <w:r>
        <w:rPr>
          <w:rFonts w:ascii="宋体" w:hAnsi="宋体"/>
          <w:sz w:val="24"/>
        </w:rPr>
        <w:t>1</w:t>
      </w:r>
      <w:r>
        <w:rPr>
          <w:rFonts w:hint="eastAsia" w:ascii="宋体" w:hAnsi="宋体"/>
          <w:sz w:val="24"/>
        </w:rPr>
        <w:t>）；</w:t>
      </w:r>
    </w:p>
    <w:p w14:paraId="40CCE7DB">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）投标声明书</w:t>
      </w:r>
      <w:r>
        <w:rPr>
          <w:rFonts w:ascii="宋体" w:hAnsi="宋体"/>
          <w:sz w:val="24"/>
        </w:rPr>
        <w:t>(</w:t>
      </w:r>
      <w:r>
        <w:rPr>
          <w:rFonts w:hint="eastAsia" w:ascii="宋体" w:hAnsi="宋体"/>
          <w:sz w:val="24"/>
        </w:rPr>
        <w:t>格式见附件2</w:t>
      </w:r>
      <w:r>
        <w:rPr>
          <w:rFonts w:ascii="宋体" w:hAnsi="宋体"/>
          <w:sz w:val="24"/>
        </w:rPr>
        <w:t>.2)</w:t>
      </w:r>
      <w:r>
        <w:rPr>
          <w:rFonts w:hint="eastAsia" w:ascii="宋体" w:hAnsi="宋体"/>
          <w:sz w:val="24"/>
        </w:rPr>
        <w:t>；</w:t>
      </w:r>
    </w:p>
    <w:p w14:paraId="6AE1FFCA">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）法定代表人授权委托书</w:t>
      </w:r>
      <w:r>
        <w:rPr>
          <w:rFonts w:ascii="宋体" w:hAnsi="宋体"/>
          <w:sz w:val="24"/>
        </w:rPr>
        <w:t>(</w:t>
      </w:r>
      <w:r>
        <w:rPr>
          <w:rFonts w:hint="eastAsia" w:ascii="宋体" w:hAnsi="宋体"/>
          <w:sz w:val="24"/>
        </w:rPr>
        <w:t>格式见附件2</w:t>
      </w:r>
      <w:r>
        <w:rPr>
          <w:rFonts w:ascii="宋体" w:hAnsi="宋体"/>
          <w:sz w:val="24"/>
        </w:rPr>
        <w:t>.3)</w:t>
      </w:r>
      <w:r>
        <w:rPr>
          <w:rFonts w:hint="eastAsia" w:ascii="宋体" w:hAnsi="宋体"/>
          <w:sz w:val="24"/>
        </w:rPr>
        <w:t>；</w:t>
      </w:r>
    </w:p>
    <w:p w14:paraId="458E9382">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）投标单位情况表</w:t>
      </w:r>
      <w:r>
        <w:rPr>
          <w:rFonts w:ascii="宋体" w:hAnsi="宋体"/>
          <w:sz w:val="24"/>
        </w:rPr>
        <w:t>(</w:t>
      </w:r>
      <w:r>
        <w:rPr>
          <w:rFonts w:hint="eastAsia" w:ascii="宋体" w:hAnsi="宋体"/>
          <w:sz w:val="24"/>
        </w:rPr>
        <w:t>格式见附件2</w:t>
      </w:r>
      <w:r>
        <w:rPr>
          <w:rFonts w:ascii="宋体" w:hAnsi="宋体"/>
          <w:sz w:val="24"/>
        </w:rPr>
        <w:t>.4)</w:t>
      </w:r>
      <w:r>
        <w:rPr>
          <w:rFonts w:hint="eastAsia" w:ascii="宋体" w:hAnsi="宋体"/>
          <w:sz w:val="24"/>
        </w:rPr>
        <w:t>；</w:t>
      </w:r>
    </w:p>
    <w:p w14:paraId="7947A83C">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（5）营业执照副本复印件；</w:t>
      </w:r>
    </w:p>
    <w:p w14:paraId="472F253E">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hAnsi="宋体"/>
          <w:sz w:val="24"/>
        </w:rPr>
        <w:t>（6）投标人过往类似业绩</w:t>
      </w:r>
      <w:r>
        <w:rPr>
          <w:rFonts w:hint="eastAsia" w:ascii="宋体"/>
          <w:sz w:val="24"/>
        </w:rPr>
        <w:t>合同复印件（格式见附件2.7）；</w:t>
      </w:r>
    </w:p>
    <w:p w14:paraId="54FA5C87">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hAnsi="宋体"/>
          <w:sz w:val="24"/>
        </w:rPr>
        <w:t>（7）</w:t>
      </w:r>
      <w:r>
        <w:rPr>
          <w:rFonts w:hint="eastAsia" w:ascii="宋体"/>
          <w:sz w:val="24"/>
        </w:rPr>
        <w:t>商务响应表（格式见附件2</w:t>
      </w:r>
      <w:r>
        <w:rPr>
          <w:rFonts w:ascii="宋体"/>
          <w:sz w:val="24"/>
        </w:rPr>
        <w:t>.8</w:t>
      </w:r>
      <w:r>
        <w:rPr>
          <w:rFonts w:hint="eastAsia" w:ascii="宋体"/>
          <w:sz w:val="24"/>
        </w:rPr>
        <w:t>）；</w:t>
      </w:r>
    </w:p>
    <w:p w14:paraId="771A2B45">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hAnsi="宋体"/>
          <w:sz w:val="24"/>
        </w:rPr>
        <w:t>（8）投标产品服务计划表（格式见附件2</w:t>
      </w:r>
      <w:r>
        <w:rPr>
          <w:rFonts w:ascii="宋体" w:hAnsi="宋体"/>
          <w:sz w:val="24"/>
        </w:rPr>
        <w:t>.9</w:t>
      </w:r>
      <w:r>
        <w:rPr>
          <w:rFonts w:hint="eastAsia" w:ascii="宋体" w:hAnsi="宋体"/>
          <w:sz w:val="24"/>
        </w:rPr>
        <w:t>）；</w:t>
      </w:r>
    </w:p>
    <w:p w14:paraId="747525FB">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sz w:val="24"/>
        </w:rPr>
        <w:t>（9）</w:t>
      </w:r>
      <w:r>
        <w:rPr>
          <w:rFonts w:hint="eastAsia"/>
          <w:sz w:val="24"/>
        </w:rPr>
        <w:t>技术响应表（格式见附件</w:t>
      </w:r>
      <w:r>
        <w:rPr>
          <w:rFonts w:hint="eastAsia" w:ascii="宋体" w:hAnsi="宋体" w:cs="宋体"/>
          <w:sz w:val="24"/>
        </w:rPr>
        <w:t>2.10</w:t>
      </w:r>
      <w:r>
        <w:rPr>
          <w:rFonts w:hint="eastAsia"/>
          <w:sz w:val="24"/>
        </w:rPr>
        <w:t>）；</w:t>
      </w:r>
    </w:p>
    <w:p w14:paraId="6934014D">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（10）投标人拟派项目负责人、技术负责人及其他主要人员个人证书及身份证</w:t>
      </w:r>
      <w:r>
        <w:rPr>
          <w:rFonts w:ascii="宋体" w:hAnsi="宋体"/>
          <w:sz w:val="24"/>
        </w:rPr>
        <w:t>(</w:t>
      </w:r>
      <w:r>
        <w:rPr>
          <w:rFonts w:hint="eastAsia" w:ascii="宋体" w:hAnsi="宋体"/>
          <w:sz w:val="24"/>
        </w:rPr>
        <w:t>格式见附件2.11</w:t>
      </w:r>
      <w:r>
        <w:rPr>
          <w:rFonts w:ascii="宋体" w:hAnsi="宋体"/>
          <w:sz w:val="24"/>
        </w:rPr>
        <w:t>)</w:t>
      </w:r>
      <w:r>
        <w:rPr>
          <w:rFonts w:hint="eastAsia" w:ascii="宋体" w:hAnsi="宋体"/>
          <w:sz w:val="24"/>
        </w:rPr>
        <w:t>；</w:t>
      </w:r>
    </w:p>
    <w:p w14:paraId="25005312">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（11）货物主要技术指标、功能及配置的详细说明（格式见附件2.12）；</w:t>
      </w:r>
    </w:p>
    <w:p w14:paraId="44F76156">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（12）投标货物的彩图；</w:t>
      </w:r>
    </w:p>
    <w:p w14:paraId="65B78E95">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sz w:val="24"/>
        </w:rPr>
      </w:pPr>
      <w:r>
        <w:rPr>
          <w:rFonts w:hint="eastAsia" w:ascii="宋体" w:hAnsi="宋体"/>
          <w:sz w:val="24"/>
        </w:rPr>
        <w:t>（13）主要产品的质检报告；</w:t>
      </w:r>
    </w:p>
    <w:p w14:paraId="094AC004">
      <w:pPr>
        <w:pStyle w:val="28"/>
        <w:keepNext w:val="0"/>
        <w:keepLines w:val="0"/>
        <w:pageBreakBefore w:val="0"/>
        <w:kinsoku/>
        <w:overflowPunct/>
        <w:topLinePunct w:val="0"/>
        <w:bidi w:val="0"/>
        <w:snapToGrid w:val="0"/>
        <w:spacing w:beforeLines="0" w:beforeAutospacing="0" w:after="0" w:afterLines="0" w:afterAutospacing="0" w:line="360" w:lineRule="auto"/>
        <w:ind w:firstLine="600" w:firstLineChars="250"/>
      </w:pPr>
      <w:r>
        <w:rPr>
          <w:rFonts w:hAnsi="宋体"/>
        </w:rPr>
        <w:t>(</w:t>
      </w:r>
      <w:r>
        <w:rPr>
          <w:rFonts w:hint="eastAsia" w:hAnsi="宋体"/>
        </w:rPr>
        <w:t>14</w:t>
      </w:r>
      <w:r>
        <w:rPr>
          <w:rFonts w:hAnsi="宋体"/>
        </w:rPr>
        <w:t>)</w:t>
      </w:r>
      <w:r>
        <w:rPr>
          <w:rFonts w:hint="eastAsia" w:hAnsi="宋体"/>
        </w:rPr>
        <w:t xml:space="preserve"> 投标该项目的优势及自我评价；</w:t>
      </w:r>
    </w:p>
    <w:p w14:paraId="5DC9B4CB">
      <w:pPr>
        <w:keepNext w:val="0"/>
        <w:keepLines w:val="0"/>
        <w:pageBreakBefore w:val="0"/>
        <w:kinsoku/>
        <w:overflowPunct/>
        <w:topLinePunct w:val="0"/>
        <w:bidi w:val="0"/>
        <w:snapToGrid w:val="0"/>
        <w:spacing w:beforeAutospacing="0" w:after="0" w:afterAutospacing="0" w:line="360" w:lineRule="auto"/>
        <w:ind w:left="48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5）技术服务方案；</w:t>
      </w:r>
    </w:p>
    <w:p w14:paraId="0CCC907F">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hAnsi="宋体"/>
          <w:sz w:val="24"/>
        </w:rPr>
      </w:pPr>
      <w:r>
        <w:rPr>
          <w:rFonts w:hint="eastAsia" w:ascii="宋体" w:hAnsi="宋体"/>
          <w:sz w:val="24"/>
        </w:rPr>
        <w:t>（16）优惠条件：投标人承诺给予招标人的各种优惠条件，包括售后服务、服务网点、备品备件、专用耗材等方面的优惠；</w:t>
      </w:r>
    </w:p>
    <w:p w14:paraId="4763582A">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hAnsi="宋体" w:cs="宋体"/>
          <w:color w:val="0D0D0D"/>
          <w:sz w:val="24"/>
          <w:szCs w:val="24"/>
        </w:rPr>
      </w:pPr>
      <w:r>
        <w:rPr>
          <w:rFonts w:hint="eastAsia" w:ascii="宋体" w:hAnsi="宋体" w:cs="宋体"/>
          <w:color w:val="0D0D0D"/>
          <w:sz w:val="24"/>
          <w:szCs w:val="24"/>
        </w:rPr>
        <w:t>（17）政府采购代理机构社会评价表（附件2.13）；</w:t>
      </w:r>
    </w:p>
    <w:p w14:paraId="06C4AE1D">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hAnsi="宋体"/>
          <w:sz w:val="24"/>
        </w:rPr>
      </w:pPr>
      <w:r>
        <w:rPr>
          <w:rFonts w:hint="eastAsia" w:ascii="宋体" w:hAnsi="宋体"/>
          <w:sz w:val="24"/>
        </w:rPr>
        <w:t>（18）投标人需要说明的其他文件和说明。</w:t>
      </w:r>
    </w:p>
    <w:p w14:paraId="5F3395C9">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b/>
          <w:bCs/>
          <w:sz w:val="24"/>
          <w:szCs w:val="24"/>
        </w:rPr>
      </w:pPr>
      <w:r>
        <w:rPr>
          <w:rFonts w:hint="eastAsia" w:ascii="宋体" w:hAnsi="宋体" w:cs="宋体"/>
          <w:b/>
          <w:bCs/>
          <w:sz w:val="24"/>
          <w:szCs w:val="24"/>
        </w:rPr>
        <w:t>3、报价文件</w:t>
      </w:r>
    </w:p>
    <w:p w14:paraId="454C3341">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（1）投标函（格式见附件3.1）；</w:t>
      </w:r>
    </w:p>
    <w:p w14:paraId="48E598B0">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color w:val="0D0D0D"/>
        </w:rPr>
      </w:pPr>
      <w:r>
        <w:rPr>
          <w:rFonts w:hint="eastAsia" w:hAnsi="宋体"/>
          <w:color w:val="0D0D0D"/>
        </w:rPr>
        <w:t>（2）开标一览表（格式见附件3.2）；</w:t>
      </w:r>
    </w:p>
    <w:p w14:paraId="6A009979">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（3）投标人针对报价需要说明的其他文件和说明。</w:t>
      </w:r>
    </w:p>
    <w:p w14:paraId="4F031324">
      <w:pPr>
        <w:keepNext w:val="0"/>
        <w:keepLines w:val="0"/>
        <w:pageBreakBefore w:val="0"/>
        <w:kinsoku/>
        <w:overflowPunct/>
        <w:topLinePunct w:val="0"/>
        <w:bidi w:val="0"/>
        <w:spacing w:beforeAutospacing="0" w:after="0" w:afterAutospacing="0" w:line="360" w:lineRule="auto"/>
        <w:ind w:firstLine="470" w:firstLineChars="196"/>
        <w:jc w:val="left"/>
        <w:outlineLvl w:val="0"/>
        <w:rPr>
          <w:rFonts w:ascii="宋体" w:hAnsi="宋体" w:cs="宋体"/>
          <w:b/>
          <w:bCs/>
          <w:color w:val="0D0D0D"/>
          <w:sz w:val="24"/>
          <w:szCs w:val="24"/>
        </w:rPr>
      </w:pPr>
      <w:r>
        <w:rPr>
          <w:rFonts w:hint="eastAsia" w:ascii="宋体" w:hAnsi="宋体" w:cs="宋体"/>
          <w:b/>
          <w:bCs/>
          <w:color w:val="0D0D0D"/>
          <w:sz w:val="24"/>
          <w:szCs w:val="24"/>
        </w:rPr>
        <w:t>（二）投标文件的语言及计量</w:t>
      </w:r>
    </w:p>
    <w:p w14:paraId="1A45D909">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▲1投标文件以及投标方与招标方就有关投标事宜的所有来往函电，均应以中文汉语书写。除签名、盖章、专用名称等特殊情形外，以中文汉语以外的文字表述的投标文件视同未提供。</w:t>
      </w:r>
    </w:p>
    <w:p w14:paraId="0954AA1C">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color w:val="0D0D0D"/>
          <w:sz w:val="24"/>
          <w:szCs w:val="24"/>
        </w:rPr>
      </w:pPr>
      <w:r>
        <w:rPr>
          <w:rFonts w:hint="eastAsia" w:ascii="宋体" w:hAnsi="宋体" w:cs="宋体"/>
          <w:color w:val="0D0D0D"/>
          <w:sz w:val="24"/>
          <w:szCs w:val="24"/>
        </w:rPr>
        <w:t>▲2投标计量单位，应采用中华人民共和国法定计量单位（货币单位：人民币元），否则视同未响应。</w:t>
      </w:r>
    </w:p>
    <w:p w14:paraId="209C0931">
      <w:pPr>
        <w:pStyle w:val="28"/>
        <w:keepNext w:val="0"/>
        <w:keepLines w:val="0"/>
        <w:pageBreakBefore w:val="0"/>
        <w:kinsoku/>
        <w:overflowPunct/>
        <w:topLinePunct w:val="0"/>
        <w:bidi w:val="0"/>
        <w:spacing w:beforeLines="0" w:beforeAutospacing="0" w:after="0" w:afterLines="0" w:afterAutospacing="0" w:line="360" w:lineRule="auto"/>
        <w:ind w:firstLine="480" w:firstLineChars="200"/>
        <w:jc w:val="left"/>
        <w:rPr>
          <w:rFonts w:hAnsi="宋体"/>
          <w:b/>
          <w:bCs/>
          <w:color w:val="0D0D0D"/>
        </w:rPr>
      </w:pPr>
      <w:r>
        <w:rPr>
          <w:rFonts w:hint="eastAsia" w:hAnsi="宋体"/>
          <w:b/>
          <w:bCs/>
          <w:color w:val="0D0D0D"/>
        </w:rPr>
        <w:t>（三）投标报价</w:t>
      </w:r>
    </w:p>
    <w:p w14:paraId="3C854D2F">
      <w:pPr>
        <w:pStyle w:val="28"/>
        <w:keepNext w:val="0"/>
        <w:keepLines w:val="0"/>
        <w:pageBreakBefore w:val="0"/>
        <w:kinsoku/>
        <w:overflowPunct/>
        <w:topLinePunct w:val="0"/>
        <w:bidi w:val="0"/>
        <w:spacing w:beforeLines="0" w:beforeAutospacing="0" w:after="0" w:afterLines="0" w:afterAutospacing="0" w:line="360" w:lineRule="auto"/>
        <w:ind w:firstLine="480" w:firstLineChars="200"/>
        <w:jc w:val="left"/>
        <w:rPr>
          <w:rFonts w:hAnsi="宋体"/>
          <w:color w:val="0D0D0D"/>
        </w:rPr>
      </w:pPr>
      <w:r>
        <w:rPr>
          <w:rFonts w:hint="eastAsia" w:hAnsi="宋体"/>
          <w:color w:val="0D0D0D"/>
        </w:rPr>
        <w:t>▲1.投标报价应按招标文件中招标需求的要求，按照相关附表格式填写。</w:t>
      </w:r>
    </w:p>
    <w:p w14:paraId="12383E0E">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▲2.投标报价是履行合同的最终价格，应当包括产品购置、</w:t>
      </w:r>
      <w:r>
        <w:rPr>
          <w:rFonts w:hint="eastAsia" w:ascii="宋体" w:hAnsi="宋体" w:cs="宋体"/>
          <w:sz w:val="24"/>
          <w:szCs w:val="24"/>
          <w:lang w:val="zh-CN"/>
        </w:rPr>
        <w:t>人员</w:t>
      </w:r>
      <w:r>
        <w:rPr>
          <w:rFonts w:hint="eastAsia" w:ascii="宋体" w:hAnsi="宋体" w:cs="宋体"/>
          <w:sz w:val="24"/>
          <w:szCs w:val="24"/>
        </w:rPr>
        <w:t>劳务</w:t>
      </w:r>
      <w:r>
        <w:rPr>
          <w:rFonts w:hint="eastAsia" w:ascii="宋体" w:hAnsi="宋体" w:cs="宋体"/>
          <w:sz w:val="24"/>
          <w:szCs w:val="24"/>
          <w:lang w:val="zh-CN"/>
        </w:rPr>
        <w:t>、材料消耗、</w:t>
      </w:r>
      <w:r>
        <w:rPr>
          <w:rFonts w:hint="eastAsia" w:ascii="宋体" w:hAnsi="宋体" w:cs="宋体"/>
          <w:sz w:val="24"/>
          <w:szCs w:val="24"/>
        </w:rPr>
        <w:t>方案评审、灯具安装</w:t>
      </w:r>
      <w:r>
        <w:rPr>
          <w:rFonts w:hint="eastAsia" w:ascii="宋体" w:hAnsi="宋体" w:cs="宋体"/>
          <w:sz w:val="24"/>
          <w:szCs w:val="24"/>
          <w:lang w:val="zh-CN"/>
        </w:rPr>
        <w:t>、综合验收、</w:t>
      </w:r>
      <w:r>
        <w:rPr>
          <w:rFonts w:hint="eastAsia" w:ascii="宋体" w:hAnsi="宋体" w:cs="宋体"/>
          <w:sz w:val="24"/>
          <w:szCs w:val="24"/>
        </w:rPr>
        <w:t>售后服务、保险、税收等所有费用及安全措施费用，投标人应当预知本项目实施过程中可能会有的政策性文件规定和合同包含的所有风险，并承担相应的责任。投标报价为投标方所能承受的整个项目最终一次性报价，如有漏项，视同已包含在其它项目中，合同总价不做调整。</w:t>
      </w:r>
    </w:p>
    <w:p w14:paraId="5E705E13">
      <w:pPr>
        <w:keepNext w:val="0"/>
        <w:keepLines w:val="0"/>
        <w:pageBreakBefore w:val="0"/>
        <w:tabs>
          <w:tab w:val="left" w:pos="525"/>
        </w:tabs>
        <w:kinsoku/>
        <w:overflowPunct/>
        <w:topLinePunct w:val="0"/>
        <w:bidi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sz w:val="24"/>
          <w:szCs w:val="24"/>
        </w:rPr>
        <w:t>▲3.投标文件只允许有一个报价，有选择的或有条件的报价将不予接受</w:t>
      </w:r>
      <w:r>
        <w:rPr>
          <w:rFonts w:hint="eastAsia" w:ascii="宋体" w:hAnsi="宋体" w:cs="宋体"/>
          <w:color w:val="0D0D0D"/>
          <w:sz w:val="24"/>
          <w:szCs w:val="24"/>
        </w:rPr>
        <w:t>。唱标价格为报价文件正本中开标一览表的报价。</w:t>
      </w:r>
    </w:p>
    <w:p w14:paraId="65F27384">
      <w:pPr>
        <w:keepNext w:val="0"/>
        <w:keepLines w:val="0"/>
        <w:pageBreakBefore w:val="0"/>
        <w:tabs>
          <w:tab w:val="left" w:pos="525"/>
        </w:tabs>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▲4.投标人的报价超出或等于限价都将做废标处理。</w:t>
      </w:r>
    </w:p>
    <w:p w14:paraId="66245D9D">
      <w:pPr>
        <w:pStyle w:val="14"/>
        <w:keepNext w:val="0"/>
        <w:keepLines w:val="0"/>
        <w:pageBreakBefore w:val="0"/>
        <w:widowControl w:val="0"/>
        <w:tabs>
          <w:tab w:val="clear" w:pos="454"/>
        </w:tabs>
        <w:kinsoku/>
        <w:overflowPunct/>
        <w:topLinePunct w:val="0"/>
        <w:bidi w:val="0"/>
        <w:spacing w:beforeAutospacing="0" w:after="0" w:afterLines="0" w:afterAutospacing="0" w:line="360" w:lineRule="auto"/>
        <w:ind w:left="0" w:firstLine="470" w:firstLineChars="196"/>
        <w:rPr>
          <w:rFonts w:ascii="宋体" w:hAnsi="宋体" w:cs="宋体"/>
          <w:b/>
          <w:bCs/>
          <w:color w:val="0D0D0D"/>
        </w:rPr>
      </w:pPr>
      <w:r>
        <w:rPr>
          <w:rFonts w:hint="eastAsia" w:ascii="宋体" w:hAnsi="宋体" w:cs="宋体"/>
          <w:b/>
          <w:bCs/>
          <w:color w:val="0D0D0D"/>
        </w:rPr>
        <w:t>（四）投标文件的有效期</w:t>
      </w:r>
    </w:p>
    <w:p w14:paraId="13886051">
      <w:pPr>
        <w:pStyle w:val="14"/>
        <w:keepNext w:val="0"/>
        <w:keepLines w:val="0"/>
        <w:pageBreakBefore w:val="0"/>
        <w:widowControl w:val="0"/>
        <w:tabs>
          <w:tab w:val="clear" w:pos="454"/>
        </w:tabs>
        <w:kinsoku/>
        <w:overflowPunct/>
        <w:topLinePunct w:val="0"/>
        <w:bidi w:val="0"/>
        <w:spacing w:beforeAutospacing="0" w:after="0" w:afterLines="0" w:afterAutospacing="0" w:line="360" w:lineRule="auto"/>
        <w:ind w:left="0" w:firstLine="480" w:firstLineChars="200"/>
        <w:rPr>
          <w:rFonts w:ascii="宋体" w:hAnsi="宋体" w:cs="宋体"/>
          <w:color w:val="0D0D0D"/>
        </w:rPr>
      </w:pPr>
      <w:r>
        <w:rPr>
          <w:rFonts w:hint="eastAsia" w:ascii="宋体" w:hAnsi="宋体" w:cs="宋体"/>
          <w:color w:val="0D0D0D"/>
        </w:rPr>
        <w:t>▲1.自投标截止日起</w:t>
      </w:r>
      <w:r>
        <w:rPr>
          <w:rFonts w:hint="eastAsia" w:ascii="宋体" w:hAnsi="宋体" w:cs="宋体"/>
          <w:color w:val="0D0D0D"/>
          <w:u w:val="single"/>
        </w:rPr>
        <w:t>60</w:t>
      </w:r>
      <w:r>
        <w:rPr>
          <w:rFonts w:hint="eastAsia" w:ascii="宋体" w:hAnsi="宋体" w:cs="宋体"/>
          <w:color w:val="0D0D0D"/>
        </w:rPr>
        <w:t>天投标文件应保持有效。有效期不足的投标文件将被拒绝。</w:t>
      </w:r>
    </w:p>
    <w:p w14:paraId="6ABC9D3C">
      <w:pPr>
        <w:pStyle w:val="14"/>
        <w:keepNext w:val="0"/>
        <w:keepLines w:val="0"/>
        <w:pageBreakBefore w:val="0"/>
        <w:widowControl w:val="0"/>
        <w:tabs>
          <w:tab w:val="clear" w:pos="454"/>
        </w:tabs>
        <w:kinsoku/>
        <w:overflowPunct/>
        <w:topLinePunct w:val="0"/>
        <w:bidi w:val="0"/>
        <w:spacing w:beforeAutospacing="0" w:after="0" w:afterLines="0" w:afterAutospacing="0" w:line="360" w:lineRule="auto"/>
        <w:ind w:left="0" w:firstLine="480" w:firstLineChars="200"/>
        <w:rPr>
          <w:rFonts w:ascii="宋体" w:hAnsi="宋体" w:cs="宋体"/>
          <w:color w:val="0D0D0D"/>
        </w:rPr>
      </w:pPr>
      <w:r>
        <w:rPr>
          <w:rFonts w:hint="eastAsia" w:ascii="宋体" w:hAnsi="宋体" w:cs="宋体"/>
          <w:color w:val="0D0D0D"/>
        </w:rPr>
        <w:t>2.在特殊情况下，招标人可与投标人协商延长投标书的有效期，这种要求和答复均以书面形式进行。</w:t>
      </w:r>
    </w:p>
    <w:p w14:paraId="35CB4CA7">
      <w:pPr>
        <w:keepNext w:val="0"/>
        <w:keepLines w:val="0"/>
        <w:pageBreakBefore w:val="0"/>
        <w:kinsoku/>
        <w:overflowPunct/>
        <w:topLinePunct w:val="0"/>
        <w:bidi w:val="0"/>
        <w:spacing w:beforeAutospacing="0" w:after="0" w:afterAutospacing="0" w:line="360" w:lineRule="auto"/>
        <w:ind w:firstLine="480" w:firstLineChars="200"/>
        <w:jc w:val="left"/>
        <w:outlineLvl w:val="0"/>
        <w:rPr>
          <w:rFonts w:ascii="宋体" w:hAnsi="宋体" w:cs="宋体"/>
          <w:b/>
          <w:bCs/>
          <w:color w:val="0D0D0D"/>
          <w:sz w:val="24"/>
          <w:szCs w:val="24"/>
        </w:rPr>
      </w:pPr>
      <w:r>
        <w:rPr>
          <w:rFonts w:hint="eastAsia" w:ascii="宋体" w:hAnsi="宋体" w:cs="宋体"/>
          <w:color w:val="0D0D0D"/>
          <w:sz w:val="24"/>
          <w:szCs w:val="24"/>
        </w:rPr>
        <w:t>3.中标人的投标文件自开标之日起至合同履行完毕止均应保持有效。</w:t>
      </w:r>
    </w:p>
    <w:p w14:paraId="541AA824">
      <w:pPr>
        <w:keepNext w:val="0"/>
        <w:keepLines w:val="0"/>
        <w:pageBreakBefore w:val="0"/>
        <w:kinsoku/>
        <w:overflowPunct/>
        <w:topLinePunct w:val="0"/>
        <w:bidi w:val="0"/>
        <w:spacing w:beforeAutospacing="0" w:after="0" w:afterAutospacing="0" w:line="360" w:lineRule="auto"/>
        <w:ind w:firstLine="352" w:firstLineChars="147"/>
        <w:jc w:val="left"/>
        <w:rPr>
          <w:rFonts w:ascii="宋体" w:hAnsi="宋体" w:cs="宋体"/>
          <w:b/>
          <w:bCs/>
          <w:sz w:val="24"/>
          <w:szCs w:val="24"/>
        </w:rPr>
      </w:pPr>
      <w:r>
        <w:rPr>
          <w:rFonts w:hint="eastAsia" w:ascii="宋体" w:hAnsi="宋体" w:cs="宋体"/>
          <w:b/>
          <w:bCs/>
          <w:sz w:val="24"/>
          <w:szCs w:val="24"/>
        </w:rPr>
        <w:t>（五）投标文件的上传、递交、修改和撤回</w:t>
      </w:r>
    </w:p>
    <w:p w14:paraId="19DBC2C5">
      <w:pPr>
        <w:keepNext w:val="0"/>
        <w:keepLines w:val="0"/>
        <w:pageBreakBefore w:val="0"/>
        <w:kinsoku/>
        <w:overflowPunct/>
        <w:topLinePunct w:val="0"/>
        <w:bidi w:val="0"/>
        <w:spacing w:beforeAutospacing="0" w:after="0" w:afterAutospacing="0" w:line="360" w:lineRule="auto"/>
        <w:ind w:firstLine="495"/>
        <w:rPr>
          <w:rFonts w:ascii="宋体" w:hAnsi="宋体" w:cs="宋体"/>
          <w:sz w:val="24"/>
          <w:szCs w:val="24"/>
        </w:rPr>
      </w:pPr>
      <w:r>
        <w:rPr>
          <w:rFonts w:hint="eastAsia" w:ascii="宋体" w:hAnsi="宋体" w:cs="宋体"/>
          <w:sz w:val="24"/>
          <w:szCs w:val="24"/>
        </w:rPr>
        <w:t>1.投标人应当在投标截止时间前在“政采云”（电子交易平台）上自行上传加密的电子投标文件。</w:t>
      </w:r>
    </w:p>
    <w:p w14:paraId="386CD95F">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2.未按规定上传的投标文件将被拒绝，由此造成投标文件解密失败或被误投的风险由投标人承担。</w:t>
      </w:r>
    </w:p>
    <w:p w14:paraId="3D92DD7C">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3.投标人未在“政采云”（电子交易平台）上自行上传加密的电子投标文件，仅提交电子备份投标文件的，投标无效。</w:t>
      </w:r>
    </w:p>
    <w:p w14:paraId="3510693B">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4.投标人应当在投标截止时间前完成电子投标文件的传输递交，并可以补充、修改或者撤回电子投标文件。补充或者修改电子投标文件的，应当先行撤回原文件，补充、修改后重新传输递交。投标截止时间前未完成传输的，视为撤回投标文件。投标、响应截止时间后上传的投标响应文件，将被政采云平台拒收。</w:t>
      </w:r>
    </w:p>
    <w:p w14:paraId="4888543A">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投标人在投标截止时间之前，可以对已提交的电子备份投标文件进行修改或撤回，并书面通知招标采购单位；修改后重新递交的电子备份投标文件应当按本招标文件的要求签署、盖章。投标截止时间后，投标人不得撤回、修改电子备份投标文件。</w:t>
      </w:r>
    </w:p>
    <w:p w14:paraId="2606FE37">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5.截止开标时间，政采云（电子交易平台）自动提取所有投标文件，投标人须在开标时间截止后30分钟内对上传政采云的投标文件进行解密，所有投标人在规定的解密时限内解密完成或解密时限到后，采购代理机构开启投标文件；投标人超过解密时限的，系统默认自动放弃。</w:t>
      </w:r>
    </w:p>
    <w:p w14:paraId="50CC184E">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6.电子投标文件无法解密或解密失败时，投标人提供了电子备份投标文件的，以电子备份投标文件作为评审依据，否则视为投标文件撤回。投标文件已按时解密的，电子备份投标文件自动失效。</w:t>
      </w:r>
    </w:p>
    <w:p w14:paraId="3B0BCFC7">
      <w:pPr>
        <w:keepNext w:val="0"/>
        <w:keepLines w:val="0"/>
        <w:pageBreakBefore w:val="0"/>
        <w:kinsoku/>
        <w:overflowPunct/>
        <w:topLinePunct w:val="0"/>
        <w:bidi w:val="0"/>
        <w:spacing w:beforeAutospacing="0" w:after="0" w:afterAutospacing="0" w:line="360" w:lineRule="auto"/>
        <w:ind w:firstLine="480" w:firstLineChars="200"/>
        <w:outlineLvl w:val="2"/>
        <w:rPr>
          <w:rFonts w:ascii="宋体" w:hAnsi="宋体" w:cs="宋体"/>
          <w:b/>
          <w:sz w:val="24"/>
        </w:rPr>
      </w:pPr>
      <w:r>
        <w:rPr>
          <w:rFonts w:hint="eastAsia" w:ascii="宋体" w:hAnsi="宋体" w:cs="宋体"/>
          <w:b/>
          <w:sz w:val="24"/>
        </w:rPr>
        <w:t>（六）投标无效的情形</w:t>
      </w:r>
    </w:p>
    <w:p w14:paraId="755EFEAC">
      <w:pPr>
        <w:keepNext w:val="0"/>
        <w:keepLines w:val="0"/>
        <w:pageBreakBefore w:val="0"/>
        <w:kinsoku/>
        <w:overflowPunct/>
        <w:topLinePunct w:val="0"/>
        <w:bidi w:val="0"/>
        <w:spacing w:beforeAutospacing="0" w:after="0" w:afterAutospacing="0" w:line="360" w:lineRule="auto"/>
        <w:ind w:firstLine="420"/>
        <w:jc w:val="left"/>
        <w:rPr>
          <w:rFonts w:ascii="宋体" w:hAnsi="宋体" w:cs="宋体"/>
          <w:sz w:val="24"/>
        </w:rPr>
      </w:pPr>
      <w:r>
        <w:rPr>
          <w:rFonts w:hint="eastAsia" w:ascii="宋体" w:hAnsi="宋体" w:cs="宋体"/>
          <w:sz w:val="24"/>
          <w:szCs w:val="24"/>
        </w:rPr>
        <w:t>实质上没有响应招标文件要求的投标将被视为无效投标。投标人不得通过修正或撤消不合要求的偏离或保留从而使其投标成为实质上响应的投标，但经评标委员会认定属于投标人疏忽、笔误所造成的差错（带▲的条款不得更正），应当允许其在评标结束之前进行修改或者补正，修改或者补正投标文件必须以书面形式进行。投标人修改、补正投标文件后，不影响评标委员会对其投标文件所作的评价和评分结果。</w:t>
      </w:r>
    </w:p>
    <w:p w14:paraId="09F1C65A">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sz w:val="24"/>
          <w:szCs w:val="24"/>
        </w:rPr>
      </w:pPr>
      <w:r>
        <w:rPr>
          <w:rFonts w:hint="eastAsia" w:ascii="宋体" w:hAnsi="宋体" w:cs="宋体"/>
          <w:b/>
          <w:bCs/>
          <w:sz w:val="24"/>
          <w:szCs w:val="24"/>
        </w:rPr>
        <w:t>1.在符合性审查和</w:t>
      </w:r>
      <w:r>
        <w:rPr>
          <w:rFonts w:hint="eastAsia" w:ascii="宋体" w:hAnsi="宋体" w:cs="宋体"/>
          <w:b/>
          <w:color w:val="0D0D0D"/>
          <w:sz w:val="24"/>
          <w:szCs w:val="24"/>
        </w:rPr>
        <w:t>资信商务及技术</w:t>
      </w:r>
      <w:r>
        <w:rPr>
          <w:rFonts w:hint="eastAsia" w:ascii="宋体" w:hAnsi="宋体" w:cs="宋体"/>
          <w:b/>
          <w:bCs/>
          <w:sz w:val="24"/>
          <w:szCs w:val="24"/>
        </w:rPr>
        <w:t>评审时，如发现下列情形之一的，投标文件将被视为无效：</w:t>
      </w:r>
    </w:p>
    <w:p w14:paraId="1770E09D">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（1）投标人仅提交电子备份投标文件的。</w:t>
      </w:r>
    </w:p>
    <w:p w14:paraId="5A3AC724">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（2）在开评标时出现电子投标文件无法解密或解密失败等情况，投标人未提供电子备份投标文件，无法对投标人继续进行评审的。</w:t>
      </w:r>
    </w:p>
    <w:p w14:paraId="5AF82E04">
      <w:pPr>
        <w:keepNext w:val="0"/>
        <w:keepLines w:val="0"/>
        <w:pageBreakBefore w:val="0"/>
        <w:kinsoku/>
        <w:overflowPunct/>
        <w:topLinePunct w:val="0"/>
        <w:bidi w:val="0"/>
        <w:spacing w:beforeAutospacing="0" w:after="0" w:afterAutospacing="0" w:line="360" w:lineRule="auto"/>
        <w:ind w:firstLine="470" w:firstLineChars="196"/>
        <w:rPr>
          <w:rFonts w:ascii="宋体" w:hAnsi="宋体" w:cs="宋体"/>
          <w:sz w:val="24"/>
          <w:szCs w:val="24"/>
        </w:rPr>
      </w:pPr>
      <w:r>
        <w:rPr>
          <w:rFonts w:hint="eastAsia" w:ascii="宋体" w:hAnsi="宋体" w:cs="宋体"/>
          <w:sz w:val="24"/>
          <w:szCs w:val="24"/>
        </w:rPr>
        <w:t>（3）投标人未在规定的时间内对电子询标函进行澄清回复、拒绝澄清回复或澄清回复的内容改变了投标文件的实质性内容的。</w:t>
      </w:r>
    </w:p>
    <w:p w14:paraId="74C6EB0C">
      <w:pPr>
        <w:keepNext w:val="0"/>
        <w:keepLines w:val="0"/>
        <w:pageBreakBefore w:val="0"/>
        <w:kinsoku/>
        <w:overflowPunct/>
        <w:topLinePunct w:val="0"/>
        <w:bidi w:val="0"/>
        <w:spacing w:beforeAutospacing="0" w:after="0" w:afterAutospacing="0" w:line="360" w:lineRule="auto"/>
        <w:ind w:firstLine="470" w:firstLineChars="196"/>
        <w:rPr>
          <w:rFonts w:ascii="宋体" w:hAnsi="宋体" w:cs="宋体"/>
          <w:sz w:val="24"/>
          <w:szCs w:val="24"/>
        </w:rPr>
      </w:pPr>
      <w:r>
        <w:rPr>
          <w:rFonts w:hint="eastAsia" w:ascii="宋体" w:hAnsi="宋体" w:cs="宋体"/>
          <w:sz w:val="24"/>
          <w:szCs w:val="24"/>
        </w:rPr>
        <w:t>（4）</w:t>
      </w:r>
      <w:r>
        <w:rPr>
          <w:rFonts w:hint="eastAsia" w:ascii="宋体" w:hAnsi="宋体" w:cs="宋体"/>
          <w:bCs/>
          <w:sz w:val="24"/>
          <w:szCs w:val="24"/>
        </w:rPr>
        <w:t>资信商务及技术文件内有商务报</w:t>
      </w:r>
      <w:r>
        <w:rPr>
          <w:rFonts w:hint="eastAsia" w:ascii="宋体" w:hAnsi="宋体" w:cs="宋体"/>
          <w:sz w:val="24"/>
          <w:szCs w:val="24"/>
        </w:rPr>
        <w:t>价出现的；</w:t>
      </w:r>
    </w:p>
    <w:p w14:paraId="1BC8DEB0">
      <w:pPr>
        <w:keepNext w:val="0"/>
        <w:keepLines w:val="0"/>
        <w:pageBreakBefore w:val="0"/>
        <w:kinsoku/>
        <w:overflowPunct/>
        <w:topLinePunct w:val="0"/>
        <w:bidi w:val="0"/>
        <w:spacing w:beforeAutospacing="0" w:after="0" w:afterAutospacing="0" w:line="360" w:lineRule="auto"/>
        <w:ind w:firstLine="470" w:firstLineChars="196"/>
        <w:rPr>
          <w:rFonts w:ascii="宋体" w:hAnsi="宋体" w:cs="宋体"/>
          <w:sz w:val="24"/>
          <w:szCs w:val="24"/>
        </w:rPr>
      </w:pPr>
      <w:r>
        <w:rPr>
          <w:rFonts w:hint="eastAsia" w:ascii="宋体" w:hAnsi="宋体" w:cs="宋体"/>
          <w:sz w:val="24"/>
          <w:szCs w:val="24"/>
        </w:rPr>
        <w:t>（5）资格证明文件不全的，或者不符合招标文件标明的资格要求的；</w:t>
      </w:r>
    </w:p>
    <w:p w14:paraId="22431C23">
      <w:pPr>
        <w:keepNext w:val="0"/>
        <w:keepLines w:val="0"/>
        <w:pageBreakBefore w:val="0"/>
        <w:kinsoku/>
        <w:overflowPunct/>
        <w:topLinePunct w:val="0"/>
        <w:bidi w:val="0"/>
        <w:spacing w:beforeAutospacing="0" w:after="0" w:afterAutospacing="0" w:line="360" w:lineRule="auto"/>
        <w:ind w:firstLine="470" w:firstLineChars="196"/>
        <w:rPr>
          <w:rFonts w:ascii="宋体" w:hAnsi="宋体" w:cs="宋体"/>
          <w:sz w:val="24"/>
          <w:szCs w:val="24"/>
        </w:rPr>
      </w:pPr>
      <w:r>
        <w:rPr>
          <w:rFonts w:hint="eastAsia" w:ascii="宋体" w:hAnsi="宋体" w:cs="宋体"/>
          <w:sz w:val="24"/>
          <w:szCs w:val="24"/>
        </w:rPr>
        <w:t>（6）本招标文件明确规定投标文件需要投标人签字、盖章的地方，投标人没有按招标文件的规定进行签字、盖章的,或未提供法定代表人授权委托书、投标声明书或者填写项目不齐全的，或则授权委托书无效的；</w:t>
      </w:r>
    </w:p>
    <w:p w14:paraId="594BE14D">
      <w:pPr>
        <w:pStyle w:val="8"/>
        <w:keepNext w:val="0"/>
        <w:keepLines w:val="0"/>
        <w:pageBreakBefore w:val="0"/>
        <w:kinsoku/>
        <w:overflowPunct/>
        <w:topLinePunct w:val="0"/>
        <w:bidi w:val="0"/>
        <w:spacing w:beforeAutospacing="0" w:after="0" w:afterAutospacing="0" w:line="360" w:lineRule="auto"/>
        <w:ind w:firstLine="454" w:firstLineChars="196"/>
        <w:rPr>
          <w:rFonts w:hAnsi="宋体"/>
          <w:sz w:val="24"/>
          <w:szCs w:val="24"/>
        </w:rPr>
      </w:pPr>
      <w:r>
        <w:rPr>
          <w:rFonts w:hint="eastAsia" w:hAnsi="宋体"/>
          <w:sz w:val="24"/>
          <w:szCs w:val="24"/>
        </w:rPr>
        <w:t>（7）投标文件的实质性内容未使用中文表述、意思表述不明确、前后矛盾或者使用计量单位不符合招标文件要求的（经评标委员会认定并允许其当场更正的笔误除外）；</w:t>
      </w:r>
    </w:p>
    <w:p w14:paraId="488B9939">
      <w:pPr>
        <w:pStyle w:val="8"/>
        <w:keepNext w:val="0"/>
        <w:keepLines w:val="0"/>
        <w:pageBreakBefore w:val="0"/>
        <w:kinsoku/>
        <w:overflowPunct/>
        <w:topLinePunct w:val="0"/>
        <w:bidi w:val="0"/>
        <w:spacing w:beforeAutospacing="0" w:after="0" w:afterAutospacing="0" w:line="360" w:lineRule="auto"/>
        <w:ind w:firstLine="454" w:firstLineChars="196"/>
        <w:rPr>
          <w:rFonts w:hAnsi="宋体"/>
          <w:snapToGrid w:val="0"/>
          <w:sz w:val="24"/>
          <w:szCs w:val="24"/>
        </w:rPr>
      </w:pPr>
      <w:r>
        <w:rPr>
          <w:rFonts w:hint="eastAsia" w:hAnsi="宋体"/>
          <w:sz w:val="24"/>
          <w:szCs w:val="24"/>
        </w:rPr>
        <w:t>（8</w:t>
      </w:r>
      <w:r>
        <w:rPr>
          <w:rFonts w:hint="eastAsia" w:hAnsi="宋体"/>
          <w:snapToGrid w:val="0"/>
          <w:sz w:val="24"/>
          <w:szCs w:val="24"/>
        </w:rPr>
        <w:t>）投标有效期等商务条款不能满足招标文件要求的；</w:t>
      </w:r>
    </w:p>
    <w:p w14:paraId="3B668080">
      <w:pPr>
        <w:pStyle w:val="8"/>
        <w:keepNext w:val="0"/>
        <w:keepLines w:val="0"/>
        <w:pageBreakBefore w:val="0"/>
        <w:kinsoku/>
        <w:overflowPunct/>
        <w:topLinePunct w:val="0"/>
        <w:bidi w:val="0"/>
        <w:spacing w:beforeAutospacing="0" w:after="0" w:afterAutospacing="0" w:line="360" w:lineRule="auto"/>
        <w:ind w:firstLine="454" w:firstLineChars="196"/>
        <w:rPr>
          <w:rFonts w:hAnsi="宋体"/>
          <w:sz w:val="24"/>
          <w:szCs w:val="24"/>
        </w:rPr>
      </w:pPr>
      <w:r>
        <w:rPr>
          <w:rFonts w:hint="eastAsia" w:hAnsi="宋体"/>
          <w:sz w:val="24"/>
          <w:szCs w:val="24"/>
        </w:rPr>
        <w:t>（9）未实质性响应招标文件中标有“▲”条款要求的；</w:t>
      </w:r>
    </w:p>
    <w:p w14:paraId="4625C395">
      <w:pPr>
        <w:pStyle w:val="8"/>
        <w:keepNext w:val="0"/>
        <w:keepLines w:val="0"/>
        <w:pageBreakBefore w:val="0"/>
        <w:kinsoku/>
        <w:overflowPunct/>
        <w:topLinePunct w:val="0"/>
        <w:bidi w:val="0"/>
        <w:spacing w:beforeAutospacing="0" w:after="0" w:afterAutospacing="0" w:line="360" w:lineRule="auto"/>
        <w:ind w:firstLine="454" w:firstLineChars="196"/>
        <w:rPr>
          <w:rFonts w:hAnsi="宋体"/>
          <w:sz w:val="24"/>
          <w:szCs w:val="24"/>
        </w:rPr>
      </w:pPr>
      <w:r>
        <w:rPr>
          <w:rFonts w:hint="eastAsia" w:hAnsi="宋体"/>
          <w:sz w:val="24"/>
          <w:szCs w:val="24"/>
        </w:rPr>
        <w:t>（10）投标文件有招标方不能接受的附加条件的。</w:t>
      </w:r>
    </w:p>
    <w:p w14:paraId="13421D7F">
      <w:pPr>
        <w:pStyle w:val="8"/>
        <w:keepNext w:val="0"/>
        <w:keepLines w:val="0"/>
        <w:pageBreakBefore w:val="0"/>
        <w:kinsoku/>
        <w:overflowPunct/>
        <w:topLinePunct w:val="0"/>
        <w:bidi w:val="0"/>
        <w:spacing w:beforeAutospacing="0" w:after="0" w:afterAutospacing="0" w:line="360" w:lineRule="auto"/>
        <w:ind w:firstLine="454" w:firstLineChars="196"/>
        <w:rPr>
          <w:rFonts w:hAnsi="宋体"/>
          <w:sz w:val="24"/>
          <w:szCs w:val="24"/>
        </w:rPr>
      </w:pPr>
      <w:r>
        <w:rPr>
          <w:rFonts w:hint="eastAsia" w:hAnsi="宋体"/>
          <w:sz w:val="24"/>
          <w:szCs w:val="24"/>
        </w:rPr>
        <w:t>（11）电子投标文件未按规定要求提供电子签章的。</w:t>
      </w:r>
    </w:p>
    <w:p w14:paraId="5426F8A1">
      <w:pPr>
        <w:pStyle w:val="8"/>
        <w:keepNext w:val="0"/>
        <w:keepLines w:val="0"/>
        <w:pageBreakBefore w:val="0"/>
        <w:kinsoku/>
        <w:overflowPunct/>
        <w:topLinePunct w:val="0"/>
        <w:bidi w:val="0"/>
        <w:spacing w:beforeAutospacing="0" w:after="0" w:afterAutospacing="0" w:line="360" w:lineRule="auto"/>
        <w:ind w:firstLine="454" w:firstLineChars="196"/>
        <w:rPr>
          <w:rFonts w:hAnsi="宋体"/>
          <w:sz w:val="24"/>
          <w:szCs w:val="24"/>
        </w:rPr>
      </w:pPr>
      <w:r>
        <w:rPr>
          <w:rFonts w:hint="eastAsia" w:hAnsi="宋体"/>
          <w:sz w:val="24"/>
          <w:szCs w:val="24"/>
        </w:rPr>
        <w:t>（12）未提供技术服务方案的；</w:t>
      </w:r>
    </w:p>
    <w:p w14:paraId="5AF73885">
      <w:pPr>
        <w:pStyle w:val="7"/>
        <w:keepNext w:val="0"/>
        <w:keepLines w:val="0"/>
        <w:pageBreakBefore w:val="0"/>
        <w:kinsoku/>
        <w:overflowPunct/>
        <w:topLinePunct w:val="0"/>
        <w:bidi w:val="0"/>
        <w:spacing w:beforeAutospacing="0" w:after="0" w:afterAutospacing="0" w:line="360" w:lineRule="auto"/>
        <w:rPr>
          <w:rFonts w:ascii="宋体" w:hAnsi="宋体" w:cs="宋体"/>
          <w:sz w:val="24"/>
          <w:szCs w:val="24"/>
        </w:rPr>
      </w:pPr>
      <w:r>
        <w:rPr>
          <w:rFonts w:hint="eastAsia" w:ascii="宋体" w:hAnsi="宋体" w:cs="宋体"/>
          <w:sz w:val="24"/>
          <w:szCs w:val="24"/>
        </w:rPr>
        <w:t>（13）与其他参加本次投标供应商的投标文件（资信商务及技术文件）的文字表述内容相同连续20行以上的。</w:t>
      </w:r>
    </w:p>
    <w:p w14:paraId="6BEDF012">
      <w:pPr>
        <w:pStyle w:val="8"/>
        <w:keepNext w:val="0"/>
        <w:keepLines w:val="0"/>
        <w:pageBreakBefore w:val="0"/>
        <w:kinsoku/>
        <w:overflowPunct/>
        <w:topLinePunct w:val="0"/>
        <w:bidi w:val="0"/>
        <w:spacing w:beforeAutospacing="0" w:after="0" w:afterAutospacing="0" w:line="360" w:lineRule="auto"/>
        <w:ind w:firstLine="464" w:firstLineChars="200"/>
        <w:rPr>
          <w:rFonts w:hAnsi="宋体"/>
          <w:b/>
          <w:bCs/>
          <w:sz w:val="24"/>
          <w:szCs w:val="24"/>
        </w:rPr>
      </w:pPr>
      <w:r>
        <w:rPr>
          <w:rFonts w:hint="eastAsia" w:hAnsi="宋体"/>
          <w:b/>
          <w:bCs/>
          <w:sz w:val="24"/>
          <w:szCs w:val="24"/>
        </w:rPr>
        <w:t>2.在报价评审时，如发现下列情形之一的，投标文件将被视为无效：</w:t>
      </w:r>
    </w:p>
    <w:p w14:paraId="5C3C9A08">
      <w:pPr>
        <w:pStyle w:val="8"/>
        <w:keepNext w:val="0"/>
        <w:keepLines w:val="0"/>
        <w:pageBreakBefore w:val="0"/>
        <w:kinsoku/>
        <w:overflowPunct/>
        <w:topLinePunct w:val="0"/>
        <w:bidi w:val="0"/>
        <w:spacing w:beforeAutospacing="0" w:after="0" w:afterAutospacing="0" w:line="360" w:lineRule="auto"/>
        <w:ind w:firstLine="464" w:firstLineChars="200"/>
        <w:rPr>
          <w:rFonts w:hAnsi="宋体"/>
          <w:sz w:val="24"/>
          <w:szCs w:val="24"/>
        </w:rPr>
      </w:pPr>
      <w:r>
        <w:rPr>
          <w:rFonts w:hint="eastAsia" w:hAnsi="宋体"/>
          <w:sz w:val="24"/>
          <w:szCs w:val="24"/>
        </w:rPr>
        <w:t>（1）投标人未在规定的时间内对电子询标函进行澄清回复、拒绝澄清回复或者澄清回复的内容改变了投标文件的实质性内容的。</w:t>
      </w:r>
    </w:p>
    <w:p w14:paraId="462E4824">
      <w:pPr>
        <w:pStyle w:val="8"/>
        <w:keepNext w:val="0"/>
        <w:keepLines w:val="0"/>
        <w:pageBreakBefore w:val="0"/>
        <w:kinsoku/>
        <w:overflowPunct/>
        <w:topLinePunct w:val="0"/>
        <w:bidi w:val="0"/>
        <w:spacing w:beforeAutospacing="0" w:after="0" w:afterAutospacing="0" w:line="360" w:lineRule="auto"/>
        <w:ind w:firstLine="454" w:firstLineChars="196"/>
        <w:rPr>
          <w:rFonts w:hAnsi="宋体"/>
          <w:sz w:val="24"/>
          <w:szCs w:val="24"/>
        </w:rPr>
      </w:pPr>
      <w:r>
        <w:rPr>
          <w:rFonts w:hint="eastAsia" w:hAnsi="宋体"/>
          <w:sz w:val="24"/>
          <w:szCs w:val="24"/>
        </w:rPr>
        <w:t>（2）未按照招标文件标明的格式报价的；</w:t>
      </w:r>
    </w:p>
    <w:p w14:paraId="1FDF2572">
      <w:pPr>
        <w:pStyle w:val="8"/>
        <w:keepNext w:val="0"/>
        <w:keepLines w:val="0"/>
        <w:pageBreakBefore w:val="0"/>
        <w:kinsoku/>
        <w:overflowPunct/>
        <w:topLinePunct w:val="0"/>
        <w:bidi w:val="0"/>
        <w:spacing w:beforeAutospacing="0" w:after="0" w:afterAutospacing="0" w:line="360" w:lineRule="auto"/>
        <w:ind w:firstLine="454" w:firstLineChars="196"/>
        <w:rPr>
          <w:rFonts w:hAnsi="宋体"/>
          <w:sz w:val="24"/>
          <w:szCs w:val="24"/>
        </w:rPr>
      </w:pPr>
      <w:r>
        <w:rPr>
          <w:rFonts w:hint="eastAsia" w:hAnsi="宋体"/>
          <w:sz w:val="24"/>
          <w:szCs w:val="24"/>
        </w:rPr>
        <w:t>（3）报价超出限价的；</w:t>
      </w:r>
    </w:p>
    <w:p w14:paraId="112C6184">
      <w:pPr>
        <w:pStyle w:val="8"/>
        <w:keepNext w:val="0"/>
        <w:keepLines w:val="0"/>
        <w:pageBreakBefore w:val="0"/>
        <w:kinsoku/>
        <w:overflowPunct/>
        <w:topLinePunct w:val="0"/>
        <w:bidi w:val="0"/>
        <w:spacing w:beforeAutospacing="0" w:after="0" w:afterAutospacing="0" w:line="360" w:lineRule="auto"/>
        <w:ind w:firstLine="454" w:firstLineChars="196"/>
        <w:rPr>
          <w:rFonts w:hAnsi="宋体"/>
          <w:sz w:val="24"/>
          <w:szCs w:val="24"/>
        </w:rPr>
      </w:pPr>
      <w:r>
        <w:rPr>
          <w:rFonts w:hint="eastAsia" w:hAnsi="宋体"/>
          <w:sz w:val="24"/>
          <w:szCs w:val="24"/>
        </w:rPr>
        <w:t>（4）投标报价具有选择性的；</w:t>
      </w:r>
    </w:p>
    <w:p w14:paraId="1B7A1019">
      <w:pPr>
        <w:pStyle w:val="7"/>
        <w:keepNext w:val="0"/>
        <w:keepLines w:val="0"/>
        <w:pageBreakBefore w:val="0"/>
        <w:kinsoku/>
        <w:overflowPunct/>
        <w:topLinePunct w:val="0"/>
        <w:bidi w:val="0"/>
        <w:spacing w:beforeAutospacing="0" w:after="0" w:afterAutospacing="0" w:line="360" w:lineRule="auto"/>
        <w:rPr>
          <w:rFonts w:ascii="宋体" w:hAnsi="宋体" w:cs="宋体"/>
          <w:b/>
          <w:sz w:val="24"/>
          <w:szCs w:val="24"/>
        </w:rPr>
      </w:pPr>
      <w:r>
        <w:rPr>
          <w:rFonts w:hint="eastAsia" w:ascii="宋体" w:hAnsi="宋体" w:cs="宋体"/>
          <w:b/>
          <w:sz w:val="24"/>
          <w:szCs w:val="24"/>
        </w:rPr>
        <w:t>（5）报价评审过程中，评标委员会发现投标人的报价明显低于其他投标报价，使得其投标报价可能低于其成本的，将要求该投标人当场作出书面说明并提供相关证明材料，投标人不能合理说明或不能提供证明材料，评标委员会可以认定投标人以低于成本价竞标，其投标应作废标处理。</w:t>
      </w:r>
    </w:p>
    <w:p w14:paraId="3D003775">
      <w:pPr>
        <w:pStyle w:val="7"/>
        <w:keepNext w:val="0"/>
        <w:keepLines w:val="0"/>
        <w:pageBreakBefore w:val="0"/>
        <w:kinsoku/>
        <w:overflowPunct/>
        <w:topLinePunct w:val="0"/>
        <w:bidi w:val="0"/>
        <w:spacing w:beforeAutospacing="0" w:after="0" w:afterAutospacing="0" w:line="360" w:lineRule="auto"/>
        <w:rPr>
          <w:rFonts w:ascii="宋体" w:hAnsi="宋体" w:cs="宋体"/>
          <w:b/>
          <w:sz w:val="24"/>
          <w:szCs w:val="24"/>
        </w:rPr>
      </w:pPr>
      <w:r>
        <w:rPr>
          <w:rFonts w:hint="eastAsia" w:ascii="宋体" w:hAnsi="宋体" w:cs="宋体"/>
          <w:b/>
          <w:bCs/>
          <w:sz w:val="24"/>
          <w:szCs w:val="24"/>
        </w:rPr>
        <w:t>（6）电子投标文件未按规定要求提供电子签章的。</w:t>
      </w:r>
    </w:p>
    <w:p w14:paraId="30A25B76">
      <w:pPr>
        <w:pStyle w:val="8"/>
        <w:keepNext w:val="0"/>
        <w:keepLines w:val="0"/>
        <w:pageBreakBefore w:val="0"/>
        <w:kinsoku/>
        <w:overflowPunct/>
        <w:topLinePunct w:val="0"/>
        <w:bidi w:val="0"/>
        <w:snapToGrid w:val="0"/>
        <w:spacing w:beforeAutospacing="0" w:after="0" w:afterAutospacing="0" w:line="360" w:lineRule="auto"/>
        <w:ind w:firstLine="454" w:firstLineChars="196"/>
        <w:rPr>
          <w:rFonts w:hAnsi="宋体"/>
          <w:b/>
          <w:bCs/>
          <w:sz w:val="24"/>
          <w:szCs w:val="24"/>
        </w:rPr>
      </w:pPr>
      <w:r>
        <w:rPr>
          <w:rFonts w:hint="eastAsia" w:hAnsi="宋体"/>
          <w:b/>
          <w:bCs/>
          <w:sz w:val="24"/>
          <w:szCs w:val="24"/>
        </w:rPr>
        <w:t>3. 根据有关法律、法规规定为无效、废标的，按法律、法规规定执行。</w:t>
      </w:r>
    </w:p>
    <w:p w14:paraId="7FDBE175">
      <w:pPr>
        <w:pStyle w:val="8"/>
        <w:keepNext w:val="0"/>
        <w:keepLines w:val="0"/>
        <w:pageBreakBefore w:val="0"/>
        <w:kinsoku/>
        <w:overflowPunct/>
        <w:topLinePunct w:val="0"/>
        <w:bidi w:val="0"/>
        <w:spacing w:beforeAutospacing="0" w:after="0" w:afterAutospacing="0" w:line="360" w:lineRule="auto"/>
        <w:ind w:firstLine="0"/>
        <w:outlineLvl w:val="1"/>
        <w:rPr>
          <w:rFonts w:hAnsi="宋体"/>
          <w:b/>
          <w:bCs/>
          <w:snapToGrid w:val="0"/>
          <w:sz w:val="24"/>
          <w:szCs w:val="24"/>
        </w:rPr>
      </w:pPr>
      <w:r>
        <w:rPr>
          <w:rFonts w:hint="eastAsia" w:hAnsi="宋体"/>
          <w:b/>
          <w:bCs/>
          <w:sz w:val="24"/>
          <w:szCs w:val="24"/>
        </w:rPr>
        <w:t>四、开标</w:t>
      </w:r>
    </w:p>
    <w:p w14:paraId="095EA9A7">
      <w:pPr>
        <w:pStyle w:val="28"/>
        <w:keepNext w:val="0"/>
        <w:keepLines w:val="0"/>
        <w:pageBreakBefore w:val="0"/>
        <w:kinsoku/>
        <w:overflowPunct/>
        <w:topLinePunct w:val="0"/>
        <w:bidi w:val="0"/>
        <w:spacing w:beforeLines="0" w:beforeAutospacing="0" w:after="0" w:afterLines="0" w:afterAutospacing="0" w:line="360" w:lineRule="auto"/>
        <w:ind w:firstLine="470" w:firstLineChars="196"/>
        <w:rPr>
          <w:rFonts w:hAnsi="宋体"/>
          <w:b/>
          <w:bCs/>
        </w:rPr>
      </w:pPr>
      <w:r>
        <w:rPr>
          <w:rFonts w:hint="eastAsia" w:hAnsi="宋体"/>
          <w:b/>
          <w:bCs/>
        </w:rPr>
        <w:t>（一）开标准备</w:t>
      </w:r>
    </w:p>
    <w:p w14:paraId="65F54ACF">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采购代理机构将在规定的时间和地点进行电子开标，投标人的法定代表人或其委托代理人【委托代理人应当是投标人的在职正式职工（以投标人本单位为其缴纳社保的凭证为准）】应做好投标准备，准时在线参加电子开标会议，随时关注开标进度。</w:t>
      </w:r>
    </w:p>
    <w:p w14:paraId="0C8888FD">
      <w:pPr>
        <w:pStyle w:val="28"/>
        <w:keepNext w:val="0"/>
        <w:keepLines w:val="0"/>
        <w:pageBreakBefore w:val="0"/>
        <w:kinsoku/>
        <w:overflowPunct/>
        <w:topLinePunct w:val="0"/>
        <w:bidi w:val="0"/>
        <w:spacing w:beforeLines="0" w:beforeAutospacing="0" w:after="0" w:afterLines="0" w:afterAutospacing="0" w:line="360" w:lineRule="auto"/>
        <w:ind w:firstLine="470" w:firstLineChars="196"/>
        <w:rPr>
          <w:rFonts w:hAnsi="宋体"/>
          <w:b/>
          <w:bCs/>
        </w:rPr>
      </w:pPr>
      <w:r>
        <w:rPr>
          <w:rFonts w:hint="eastAsia" w:hAnsi="宋体"/>
          <w:b/>
          <w:bCs/>
        </w:rPr>
        <w:t>（二）开标程序：</w:t>
      </w:r>
    </w:p>
    <w:p w14:paraId="3ACACD83">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1.开标会由招标方主持，主持人宣布开标会议开始；</w:t>
      </w:r>
    </w:p>
    <w:p w14:paraId="36E59B0F">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2.主持人介绍参加开标会的人员名单；</w:t>
      </w:r>
    </w:p>
    <w:p w14:paraId="7446BFD5">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3.主持人宣布评标期间的有关事项；</w:t>
      </w:r>
    </w:p>
    <w:p w14:paraId="453BB055">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告知应当回避的情形,提请有关人员回避，检查投标人代表的到会情况；</w:t>
      </w:r>
    </w:p>
    <w:p w14:paraId="38934A78">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4.开标及评审程序</w:t>
      </w:r>
    </w:p>
    <w:p w14:paraId="6F8FEC04">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4.1在开标时间截止后30分钟内由各投标人自行对投标文件进行解密；</w:t>
      </w:r>
    </w:p>
    <w:p w14:paraId="394E7F09">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4.2由采购人或代理机构进行资格审查，通过资格审查的投标人进入商务技术响应文件进行评审；</w:t>
      </w:r>
    </w:p>
    <w:p w14:paraId="6F95BA7E">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4.3系统对各投标人的商务技术进行汇总；</w:t>
      </w:r>
    </w:p>
    <w:p w14:paraId="0164A1E4">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4.4在系统上公开报价开标情况；</w:t>
      </w:r>
    </w:p>
    <w:p w14:paraId="6093B374">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4.5评标委员会对报价情况进行评审；</w:t>
      </w:r>
    </w:p>
    <w:p w14:paraId="7DCF7857">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4.6在系统上公布评审结果。</w:t>
      </w:r>
    </w:p>
    <w:p w14:paraId="7F52AB9A">
      <w:pPr>
        <w:keepNext w:val="0"/>
        <w:keepLines w:val="0"/>
        <w:pageBreakBefore w:val="0"/>
        <w:kinsoku/>
        <w:overflowPunct/>
        <w:topLinePunct w:val="0"/>
        <w:bidi w:val="0"/>
        <w:spacing w:beforeAutospacing="0" w:after="0" w:afterAutospacing="0" w:line="360" w:lineRule="auto"/>
        <w:rPr>
          <w:rFonts w:ascii="宋体" w:hAnsi="宋体" w:cs="宋体"/>
          <w:b/>
          <w:bCs/>
          <w:sz w:val="24"/>
          <w:szCs w:val="24"/>
        </w:rPr>
      </w:pPr>
      <w:r>
        <w:rPr>
          <w:rFonts w:hint="eastAsia" w:ascii="宋体" w:hAnsi="宋体" w:cs="宋体"/>
          <w:b/>
          <w:bCs/>
          <w:sz w:val="24"/>
          <w:szCs w:val="24"/>
        </w:rPr>
        <w:t>特别说明：政采云公司如对电子化开标及评审程序有调整的，按调整后的程序操作。</w:t>
      </w:r>
    </w:p>
    <w:p w14:paraId="371C1C09">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5.本项目采用政采云电子招投标开标及评审程序，开评标时出现电子投标文件无法解密或解密失败等情况时，采购代理机构可上传投标人的电子备份投标文件继续评审。</w:t>
      </w:r>
    </w:p>
    <w:p w14:paraId="7F76547C">
      <w:pPr>
        <w:pStyle w:val="28"/>
        <w:keepNext w:val="0"/>
        <w:keepLines w:val="0"/>
        <w:pageBreakBefore w:val="0"/>
        <w:kinsoku/>
        <w:overflowPunct/>
        <w:topLinePunct w:val="0"/>
        <w:bidi w:val="0"/>
        <w:spacing w:beforeLines="0" w:beforeAutospacing="0" w:after="0" w:afterLines="0" w:afterAutospacing="0" w:line="360" w:lineRule="auto"/>
        <w:outlineLvl w:val="1"/>
        <w:rPr>
          <w:rFonts w:hAnsi="宋体"/>
          <w:b/>
          <w:bCs/>
        </w:rPr>
      </w:pPr>
      <w:r>
        <w:rPr>
          <w:rFonts w:hint="eastAsia" w:hAnsi="宋体"/>
          <w:b/>
          <w:bCs/>
        </w:rPr>
        <w:t>五、评标</w:t>
      </w:r>
    </w:p>
    <w:p w14:paraId="273CE1FA">
      <w:pPr>
        <w:pStyle w:val="28"/>
        <w:keepNext w:val="0"/>
        <w:keepLines w:val="0"/>
        <w:pageBreakBefore w:val="0"/>
        <w:kinsoku/>
        <w:overflowPunct/>
        <w:topLinePunct w:val="0"/>
        <w:bidi w:val="0"/>
        <w:spacing w:beforeLines="0" w:beforeAutospacing="0" w:after="0" w:afterLines="0" w:afterAutospacing="0" w:line="360" w:lineRule="auto"/>
        <w:ind w:firstLine="240" w:firstLineChars="100"/>
        <w:rPr>
          <w:rFonts w:hAnsi="宋体"/>
          <w:b/>
          <w:bCs/>
        </w:rPr>
      </w:pPr>
      <w:r>
        <w:rPr>
          <w:rFonts w:hint="eastAsia" w:hAnsi="宋体"/>
          <w:b/>
          <w:bCs/>
        </w:rPr>
        <w:t>（一）组建评标委员会</w:t>
      </w:r>
    </w:p>
    <w:p w14:paraId="414148F4">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本项目评标委员会由政府采购评审专家</w:t>
      </w:r>
      <w:r>
        <w:rPr>
          <w:rFonts w:hint="eastAsia" w:hAnsi="宋体"/>
          <w:u w:val="single"/>
        </w:rPr>
        <w:t>4</w:t>
      </w:r>
      <w:r>
        <w:rPr>
          <w:rFonts w:hint="eastAsia" w:hAnsi="宋体"/>
        </w:rPr>
        <w:t>人和采购人代表</w:t>
      </w:r>
      <w:r>
        <w:rPr>
          <w:rFonts w:hint="eastAsia" w:hAnsi="宋体"/>
          <w:u w:val="single"/>
        </w:rPr>
        <w:t>1</w:t>
      </w:r>
      <w:r>
        <w:rPr>
          <w:rFonts w:hint="eastAsia" w:hAnsi="宋体"/>
        </w:rPr>
        <w:t>人,共</w:t>
      </w:r>
      <w:r>
        <w:rPr>
          <w:rFonts w:hint="eastAsia" w:hAnsi="宋体"/>
          <w:u w:val="single"/>
        </w:rPr>
        <w:t>5</w:t>
      </w:r>
      <w:r>
        <w:rPr>
          <w:rFonts w:hint="eastAsia" w:hAnsi="宋体"/>
        </w:rPr>
        <w:t>人组成。</w:t>
      </w:r>
    </w:p>
    <w:p w14:paraId="0C94493D">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（二）评标的方式</w:t>
      </w:r>
    </w:p>
    <w:p w14:paraId="69156DC7">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本项目采用不公开方式评标，评标的依据为招标文件和投标文件。</w:t>
      </w:r>
    </w:p>
    <w:p w14:paraId="57A60F62">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（三）评标程序</w:t>
      </w:r>
    </w:p>
    <w:p w14:paraId="3C496320">
      <w:pPr>
        <w:keepNext w:val="0"/>
        <w:keepLines w:val="0"/>
        <w:pageBreakBefore w:val="0"/>
        <w:kinsoku/>
        <w:overflowPunct/>
        <w:topLinePunct w:val="0"/>
        <w:bidi w:val="0"/>
        <w:spacing w:beforeAutospacing="0" w:after="0" w:afterAutospacing="0" w:line="360" w:lineRule="auto"/>
        <w:ind w:firstLine="470" w:firstLineChars="196"/>
        <w:rPr>
          <w:rFonts w:ascii="宋体" w:hAnsi="宋体" w:cs="宋体"/>
          <w:b/>
          <w:bCs/>
          <w:sz w:val="24"/>
          <w:szCs w:val="24"/>
        </w:rPr>
      </w:pPr>
      <w:r>
        <w:rPr>
          <w:rFonts w:hint="eastAsia" w:ascii="宋体" w:hAnsi="宋体" w:cs="宋体"/>
          <w:b/>
          <w:bCs/>
          <w:sz w:val="24"/>
          <w:szCs w:val="24"/>
        </w:rPr>
        <w:t>1.形式审查</w:t>
      </w:r>
    </w:p>
    <w:p w14:paraId="23322DFA">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color w:val="0D0D0D"/>
          <w:sz w:val="24"/>
          <w:szCs w:val="24"/>
        </w:rPr>
      </w:pPr>
      <w:r>
        <w:rPr>
          <w:rFonts w:hint="eastAsia" w:ascii="宋体" w:hAnsi="宋体" w:cs="宋体"/>
          <w:color w:val="0D0D0D"/>
          <w:sz w:val="24"/>
          <w:szCs w:val="24"/>
        </w:rPr>
        <w:t>招标方工作人员对投标人的资格和投标文件的完整性、合法性等进行审查。</w:t>
      </w:r>
    </w:p>
    <w:p w14:paraId="6AEC366A">
      <w:pPr>
        <w:keepNext w:val="0"/>
        <w:keepLines w:val="0"/>
        <w:pageBreakBefore w:val="0"/>
        <w:kinsoku/>
        <w:overflowPunct/>
        <w:topLinePunct w:val="0"/>
        <w:bidi w:val="0"/>
        <w:spacing w:beforeAutospacing="0" w:after="0" w:afterAutospacing="0" w:line="360" w:lineRule="auto"/>
        <w:ind w:firstLine="470" w:firstLineChars="196"/>
        <w:rPr>
          <w:rFonts w:ascii="宋体" w:hAnsi="宋体" w:cs="宋体"/>
          <w:b/>
          <w:bCs/>
          <w:color w:val="0D0D0D"/>
          <w:sz w:val="24"/>
          <w:szCs w:val="24"/>
        </w:rPr>
      </w:pPr>
      <w:r>
        <w:rPr>
          <w:rFonts w:hint="eastAsia" w:ascii="宋体" w:hAnsi="宋体" w:cs="宋体"/>
          <w:b/>
          <w:bCs/>
          <w:color w:val="0D0D0D"/>
          <w:sz w:val="24"/>
          <w:szCs w:val="24"/>
        </w:rPr>
        <w:t>2.实质审查与比较</w:t>
      </w:r>
    </w:p>
    <w:p w14:paraId="115D4ACB">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（1）评标委员会审查投标文件的实质性内容是否符合招标文件实质性要求。</w:t>
      </w:r>
    </w:p>
    <w:p w14:paraId="385B600A">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（2）评标委员会将根据投标人的投标文件进行审查、核对,如有疑问,将对投标人进行询标,投标人要向评标委员会澄清有关问题,并最终以书面形式进行答复。</w:t>
      </w:r>
    </w:p>
    <w:p w14:paraId="44A82FD7">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投标人代表未到场或者拒绝澄清或者澄清的内容改变了投标文件的实质性内容的，评标委员会有权对该投标文件作出不利于投标人的评判。</w:t>
      </w:r>
    </w:p>
    <w:p w14:paraId="351AB7B0">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（3）技术、商务、资信及其他分按照评标委员会成员的独立评分结果的算术平均分计算，由指定专人进行计算复核。</w:t>
      </w:r>
    </w:p>
    <w:p w14:paraId="0BC86D7B">
      <w:pPr>
        <w:keepNext w:val="0"/>
        <w:keepLines w:val="0"/>
        <w:pageBreakBefore w:val="0"/>
        <w:kinsoku/>
        <w:overflowPunct/>
        <w:topLinePunct w:val="0"/>
        <w:bidi w:val="0"/>
        <w:adjustRightInd w:val="0"/>
        <w:snapToGrid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（4）招标方工作人员协助评标委员会审核投标报价有无计算错误，并根据本项目的评分标准计算各投标人的报价得分。</w:t>
      </w:r>
    </w:p>
    <w:p w14:paraId="6D756513">
      <w:pPr>
        <w:keepNext w:val="0"/>
        <w:keepLines w:val="0"/>
        <w:pageBreakBefore w:val="0"/>
        <w:kinsoku/>
        <w:overflowPunct/>
        <w:topLinePunct w:val="0"/>
        <w:bidi w:val="0"/>
        <w:adjustRightInd w:val="0"/>
        <w:snapToGrid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（5）采购人、采购代理机构不得向评审委员会的评审专家作倾向性、误导性的解释或者说明。</w:t>
      </w:r>
    </w:p>
    <w:p w14:paraId="189ACB21">
      <w:pPr>
        <w:keepNext w:val="0"/>
        <w:keepLines w:val="0"/>
        <w:pageBreakBefore w:val="0"/>
        <w:kinsoku/>
        <w:overflowPunct/>
        <w:topLinePunct w:val="0"/>
        <w:bidi w:val="0"/>
        <w:adjustRightInd w:val="0"/>
        <w:snapToGrid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6）采购代理机构应当为评审专家提供必要的评审条件和相应的评审工作底稿，并严格按规定程序组织评审专家有步骤地进行项目评审，对各评审专家的评审情况和评审意见进行合理性和合规性审查，对明显畸高、畸低的重大差异评审情况（其总评分偏离平均分30%以上），提醒相关评审专家进行复核或书面说明理由。</w:t>
      </w:r>
    </w:p>
    <w:p w14:paraId="3CBCAA9B">
      <w:pPr>
        <w:keepNext w:val="0"/>
        <w:keepLines w:val="0"/>
        <w:pageBreakBefore w:val="0"/>
        <w:kinsoku/>
        <w:overflowPunct/>
        <w:topLinePunct w:val="0"/>
        <w:bidi w:val="0"/>
        <w:adjustRightInd w:val="0"/>
        <w:snapToGrid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（7）评审专家在评审过程中不得将自己的观点强加给其他评审专家，评审专家应自主发表见解，对评审意见承担个人责任。</w:t>
      </w:r>
    </w:p>
    <w:p w14:paraId="4A70BAED">
      <w:pPr>
        <w:keepNext w:val="0"/>
        <w:keepLines w:val="0"/>
        <w:pageBreakBefore w:val="0"/>
        <w:kinsoku/>
        <w:overflowPunct/>
        <w:topLinePunct w:val="0"/>
        <w:bidi w:val="0"/>
        <w:adjustRightInd w:val="0"/>
        <w:snapToGrid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（8）评标委员会完成评标后,招标方工作人员对各部分得分汇总,计算出本项目最终得分。评标委员会按评标原则推荐中标候选人并起草评标报告。</w:t>
      </w:r>
    </w:p>
    <w:p w14:paraId="6851A6BA">
      <w:pPr>
        <w:keepNext w:val="0"/>
        <w:keepLines w:val="0"/>
        <w:pageBreakBefore w:val="0"/>
        <w:kinsoku/>
        <w:overflowPunct/>
        <w:topLinePunct w:val="0"/>
        <w:bidi w:val="0"/>
        <w:adjustRightInd w:val="0"/>
        <w:snapToGrid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9）评审结束后，评审委员会应向采购代理机构提交项目评审报告。评审报告是采购人确定中标人的合法依据，评审委员会应当如实、客观地反映评审情况，按招标文件的评审办法和细则的规定推荐中标候选人，说明推荐理由，并重点对中标候选人的技术、服务和价格等情况进行评价和比较。如排名第一的投标人报价为最高报价的，评审报告中须对其报价的合理性等进行分析和特别说明。</w:t>
      </w:r>
    </w:p>
    <w:p w14:paraId="47D59128">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color w:val="0D0D0D"/>
          <w:sz w:val="24"/>
          <w:szCs w:val="24"/>
        </w:rPr>
      </w:pPr>
      <w:r>
        <w:rPr>
          <w:rFonts w:hint="eastAsia" w:ascii="宋体" w:hAnsi="宋体" w:cs="宋体"/>
          <w:b/>
          <w:bCs/>
          <w:color w:val="0D0D0D"/>
          <w:sz w:val="24"/>
          <w:szCs w:val="24"/>
        </w:rPr>
        <w:t>（四）澄清问题的形式</w:t>
      </w:r>
    </w:p>
    <w:p w14:paraId="58366FF8">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对投标文件中含义不明确、同类问题表述不一致或者有明显文字和计算错误的内容，评标委员会可要求投标人作出必要的澄清、说明或者纠正。投标人的澄清、说明（需盖CA电子签章或实体公章），并不得超出投标文件的范围或者改变投标文件的实质性内容。</w:t>
      </w:r>
    </w:p>
    <w:p w14:paraId="13BBA917">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（五）错误修正</w:t>
      </w:r>
    </w:p>
    <w:p w14:paraId="53E26691">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投标文件如果出现计算或表达上的错误，修正错误的原则如下：</w:t>
      </w:r>
    </w:p>
    <w:p w14:paraId="52489E16">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1.投标文件的大写金额和小写金额不一致的，以大写金额为准；</w:t>
      </w:r>
    </w:p>
    <w:p w14:paraId="20FCCB28">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2.总价金额与按单价汇总金额不一致的，以单价金额计算结果为准；</w:t>
      </w:r>
    </w:p>
    <w:p w14:paraId="03A046EA">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3.对不同文字文本投标文件的解释发生异议的，以中文文本为准。</w:t>
      </w:r>
    </w:p>
    <w:p w14:paraId="13840149">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按上述修正错误的原则及方法调整或修正投标文件的投标报价，投标人同意并签字确认后，调整后的投标报价对投标人具有约束作用。如果投标人不接受修正后的报价，则其投标将作为无效投标处理。</w:t>
      </w:r>
    </w:p>
    <w:p w14:paraId="49965612">
      <w:pPr>
        <w:pStyle w:val="28"/>
        <w:keepNext w:val="0"/>
        <w:keepLines w:val="0"/>
        <w:pageBreakBefore w:val="0"/>
        <w:tabs>
          <w:tab w:val="left" w:pos="630"/>
        </w:tabs>
        <w:kinsoku/>
        <w:overflowPunct/>
        <w:topLinePunct w:val="0"/>
        <w:bidi w:val="0"/>
        <w:spacing w:beforeLines="0" w:beforeAutospacing="0" w:after="0" w:afterLines="0" w:afterAutospacing="0" w:line="360" w:lineRule="auto"/>
        <w:ind w:firstLine="470" w:firstLineChars="196"/>
        <w:rPr>
          <w:rFonts w:hAnsi="宋体"/>
          <w:b/>
          <w:bCs/>
        </w:rPr>
      </w:pPr>
      <w:r>
        <w:rPr>
          <w:rFonts w:hint="eastAsia" w:hAnsi="宋体"/>
          <w:b/>
          <w:bCs/>
        </w:rPr>
        <w:t>（六）评标原则、办法及依据</w:t>
      </w:r>
    </w:p>
    <w:p w14:paraId="5EF92552">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14:paraId="0EEEFA22">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2.评标办法。本项目评标办法是</w:t>
      </w:r>
      <w:r>
        <w:rPr>
          <w:rFonts w:hint="eastAsia" w:hAnsi="宋体"/>
          <w:u w:val="single"/>
        </w:rPr>
        <w:t>综合评分法</w:t>
      </w:r>
      <w:r>
        <w:rPr>
          <w:rFonts w:hint="eastAsia" w:hAnsi="宋体"/>
        </w:rPr>
        <w:t>，具体评标内容及评分标准等详见《第四章：评标办法及评分标准》。</w:t>
      </w:r>
    </w:p>
    <w:p w14:paraId="0AB06D77">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3.评标依据：评标委员会决定投标的响应性只根据投标文件的内容，而不寻求外部的证据。</w:t>
      </w:r>
    </w:p>
    <w:p w14:paraId="5CEE12A5">
      <w:pPr>
        <w:pStyle w:val="28"/>
        <w:keepNext w:val="0"/>
        <w:keepLines w:val="0"/>
        <w:pageBreakBefore w:val="0"/>
        <w:kinsoku/>
        <w:overflowPunct/>
        <w:topLinePunct w:val="0"/>
        <w:bidi w:val="0"/>
        <w:spacing w:beforeLines="0" w:beforeAutospacing="0" w:after="0" w:afterLines="0" w:afterAutospacing="0" w:line="360" w:lineRule="auto"/>
        <w:ind w:firstLine="470" w:firstLineChars="196"/>
        <w:rPr>
          <w:rFonts w:hAnsi="宋体"/>
          <w:b/>
          <w:bCs/>
        </w:rPr>
      </w:pPr>
      <w:r>
        <w:rPr>
          <w:rFonts w:hint="eastAsia" w:hAnsi="宋体"/>
          <w:b/>
          <w:bCs/>
        </w:rPr>
        <w:t>（七）评标过程的监控</w:t>
      </w:r>
    </w:p>
    <w:p w14:paraId="2DD6D5DA">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本项目评标过程实行全程录音、录像监控，投标人在评标过程中所进行的试图影响评标结果的不公正活动，可能导致其投标被拒绝。</w:t>
      </w:r>
    </w:p>
    <w:p w14:paraId="03094A5C">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sz w:val="24"/>
          <w:szCs w:val="24"/>
        </w:rPr>
      </w:pPr>
      <w:r>
        <w:rPr>
          <w:rFonts w:hint="eastAsia" w:ascii="宋体" w:hAnsi="宋体" w:cs="宋体"/>
          <w:b/>
          <w:bCs/>
          <w:sz w:val="24"/>
          <w:szCs w:val="24"/>
        </w:rPr>
        <w:t>（八）其他</w:t>
      </w:r>
    </w:p>
    <w:p w14:paraId="1324371E">
      <w:pPr>
        <w:keepNext w:val="0"/>
        <w:keepLines w:val="0"/>
        <w:pageBreakBefore w:val="0"/>
        <w:kinsoku/>
        <w:overflowPunct/>
        <w:topLinePunct w:val="0"/>
        <w:bidi w:val="0"/>
        <w:spacing w:beforeAutospacing="0" w:after="0" w:afterAutospacing="0" w:line="360" w:lineRule="auto"/>
        <w:ind w:firstLine="470" w:firstLineChars="196"/>
        <w:rPr>
          <w:rFonts w:ascii="宋体" w:hAnsi="宋体" w:cs="宋体"/>
          <w:sz w:val="24"/>
          <w:szCs w:val="24"/>
        </w:rPr>
      </w:pPr>
      <w:r>
        <w:rPr>
          <w:rFonts w:hint="eastAsia" w:ascii="宋体" w:hAnsi="宋体" w:cs="宋体"/>
          <w:sz w:val="24"/>
          <w:szCs w:val="24"/>
        </w:rPr>
        <w:t>采购过程中出现以下情形，导致电子交易平台无法正常运行，或者无法保证电子交易的公平、公正和安全时，采购组织机构可中止电子交易活动：</w:t>
      </w:r>
    </w:p>
    <w:p w14:paraId="4874AC68">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1、电子交易平台发生故障而无法登录访问的；</w:t>
      </w:r>
    </w:p>
    <w:p w14:paraId="15060DC8">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2、电子交易平台应用或数据库出现错误，不能进行正常操作的；</w:t>
      </w:r>
    </w:p>
    <w:p w14:paraId="684E503F">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3、电子交易平台发现严重安全漏洞，有潜在泄密危险的；</w:t>
      </w:r>
    </w:p>
    <w:p w14:paraId="47EF45F9">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4、病毒发作导致不能进行正常操作的；</w:t>
      </w:r>
    </w:p>
    <w:p w14:paraId="06754628">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5、其他无法保证电子交易的公平、公正和安全的情况。</w:t>
      </w:r>
    </w:p>
    <w:p w14:paraId="70661771">
      <w:pPr>
        <w:keepNext w:val="0"/>
        <w:keepLines w:val="0"/>
        <w:pageBreakBefore w:val="0"/>
        <w:kinsoku/>
        <w:overflowPunct/>
        <w:topLinePunct w:val="0"/>
        <w:bidi w:val="0"/>
        <w:spacing w:beforeAutospacing="0" w:after="0" w:afterAutospacing="0" w:line="360" w:lineRule="auto"/>
        <w:ind w:firstLine="470" w:firstLineChars="196"/>
        <w:rPr>
          <w:rFonts w:ascii="宋体" w:hAnsi="宋体" w:cs="宋体"/>
          <w:sz w:val="24"/>
          <w:szCs w:val="24"/>
        </w:rPr>
      </w:pPr>
      <w:r>
        <w:rPr>
          <w:rFonts w:hint="eastAsia" w:ascii="宋体" w:hAnsi="宋体" w:cs="宋体"/>
          <w:sz w:val="24"/>
          <w:szCs w:val="24"/>
        </w:rPr>
        <w:t>出现前款规定情形，不影响采购公平、公正性的，采购组织机构可以待上述情形消除后继续组织电子交易活动；影响或可能影响采购公平、公正性的，应当重新采购。</w:t>
      </w:r>
    </w:p>
    <w:p w14:paraId="7726AB80">
      <w:pPr>
        <w:pStyle w:val="28"/>
        <w:keepNext w:val="0"/>
        <w:keepLines w:val="0"/>
        <w:pageBreakBefore w:val="0"/>
        <w:kinsoku/>
        <w:overflowPunct/>
        <w:topLinePunct w:val="0"/>
        <w:bidi w:val="0"/>
        <w:spacing w:beforeLines="0" w:beforeAutospacing="0" w:after="0" w:afterLines="0" w:afterAutospacing="0" w:line="360" w:lineRule="auto"/>
        <w:outlineLvl w:val="1"/>
        <w:rPr>
          <w:rFonts w:hAnsi="宋体"/>
          <w:b/>
          <w:bCs/>
        </w:rPr>
      </w:pPr>
      <w:r>
        <w:rPr>
          <w:rFonts w:hint="eastAsia" w:hAnsi="宋体"/>
          <w:b/>
          <w:bCs/>
        </w:rPr>
        <w:t>六、定标</w:t>
      </w:r>
    </w:p>
    <w:p w14:paraId="3DCF3E20">
      <w:pPr>
        <w:pStyle w:val="28"/>
        <w:keepNext w:val="0"/>
        <w:keepLines w:val="0"/>
        <w:pageBreakBefore w:val="0"/>
        <w:kinsoku/>
        <w:overflowPunct/>
        <w:topLinePunct w:val="0"/>
        <w:bidi w:val="0"/>
        <w:spacing w:beforeLines="0" w:beforeAutospacing="0" w:after="0" w:afterLines="0" w:afterAutospacing="0" w:line="360" w:lineRule="auto"/>
        <w:ind w:firstLine="470" w:firstLineChars="196"/>
        <w:rPr>
          <w:rFonts w:hAnsi="宋体"/>
          <w:b/>
          <w:bCs/>
        </w:rPr>
      </w:pPr>
      <w:r>
        <w:rPr>
          <w:rFonts w:hint="eastAsia" w:hAnsi="宋体"/>
          <w:b/>
          <w:bCs/>
        </w:rPr>
        <w:t>（一）确定中标人。本项目由采购人授权评标委员会确定中标人。</w:t>
      </w:r>
    </w:p>
    <w:p w14:paraId="66D6B5DD">
      <w:pPr>
        <w:pStyle w:val="28"/>
        <w:keepNext w:val="0"/>
        <w:keepLines w:val="0"/>
        <w:pageBreakBefore w:val="0"/>
        <w:kinsoku/>
        <w:overflowPunct/>
        <w:topLinePunct w:val="0"/>
        <w:bidi w:val="0"/>
        <w:spacing w:beforeLines="0" w:beforeAutospacing="0" w:after="0" w:afterLines="0" w:afterAutospacing="0" w:line="360" w:lineRule="auto"/>
        <w:ind w:firstLine="480" w:firstLineChars="200"/>
        <w:outlineLvl w:val="1"/>
        <w:rPr>
          <w:rFonts w:hAnsi="宋体"/>
        </w:rPr>
      </w:pPr>
      <w:r>
        <w:rPr>
          <w:rFonts w:hint="eastAsia" w:hAnsi="宋体"/>
        </w:rPr>
        <w:t>1.出现下列情形之一的，采购单位或评标委员会可以直接确定排名第二的候选供应商为中标成交供应商，或者重新进行招投标。</w:t>
      </w:r>
    </w:p>
    <w:p w14:paraId="6EF0620C">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hAnsi="宋体" w:cs="宋体"/>
          <w:b/>
          <w:bCs/>
          <w:sz w:val="24"/>
          <w:szCs w:val="24"/>
        </w:rPr>
      </w:pPr>
      <w:r>
        <w:rPr>
          <w:rFonts w:hint="eastAsia" w:ascii="宋体" w:hAnsi="宋体" w:cs="宋体"/>
          <w:sz w:val="24"/>
          <w:szCs w:val="24"/>
        </w:rPr>
        <w:t>（1）排名第一的候选供应商，因自身原因放弃中标成交或因不可抗力不能履行合同的；</w:t>
      </w:r>
    </w:p>
    <w:p w14:paraId="2920A35D">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（2）经质疑，采购组织机构审查确认因排名第一的候选供应商在本次采购活动中存在违法违规行为或其他原因使质疑成立的。</w:t>
      </w:r>
    </w:p>
    <w:p w14:paraId="285340C2">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2.招标方在评标结束后2个工作日内将评标报告交采购人确认，并在采购人确认中标人之日起2个工作日内，在发布招标公告的网站上对中标结果进行公告。</w:t>
      </w:r>
    </w:p>
    <w:p w14:paraId="0591F0D8">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3.投标人对评标结果无异议的，采购人应在收到评标报告后5个工作日内对评标结果进行确认。如有投标人对评标结果提出质疑的，采购人可在质疑处理完毕后确定中标人。</w:t>
      </w:r>
    </w:p>
    <w:p w14:paraId="6F16C46A">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4.采购人或评委会依法确定中标人后2个工作日内，招标方以书面形式发出《中标通知书》,并同时在相关网站上发布中标公告。</w:t>
      </w:r>
    </w:p>
    <w:p w14:paraId="7A225920">
      <w:pPr>
        <w:pStyle w:val="28"/>
        <w:keepNext w:val="0"/>
        <w:keepLines w:val="0"/>
        <w:pageBreakBefore w:val="0"/>
        <w:kinsoku/>
        <w:overflowPunct/>
        <w:topLinePunct w:val="0"/>
        <w:bidi w:val="0"/>
        <w:spacing w:beforeLines="0" w:beforeAutospacing="0" w:after="0" w:afterLines="0" w:afterAutospacing="0" w:line="360" w:lineRule="auto"/>
        <w:outlineLvl w:val="1"/>
        <w:rPr>
          <w:rFonts w:hAnsi="宋体"/>
          <w:b/>
          <w:bCs/>
          <w:color w:val="0D0D0D"/>
        </w:rPr>
      </w:pPr>
      <w:r>
        <w:rPr>
          <w:rFonts w:hint="eastAsia" w:hAnsi="宋体"/>
          <w:b/>
          <w:bCs/>
        </w:rPr>
        <w:t>七、合同授予</w:t>
      </w:r>
    </w:p>
    <w:p w14:paraId="67C248C6">
      <w:pPr>
        <w:keepNext w:val="0"/>
        <w:keepLines w:val="0"/>
        <w:pageBreakBefore w:val="0"/>
        <w:tabs>
          <w:tab w:val="left" w:pos="6660"/>
        </w:tabs>
        <w:kinsoku/>
        <w:overflowPunct/>
        <w:topLinePunct w:val="0"/>
        <w:bidi w:val="0"/>
        <w:spacing w:beforeAutospacing="0" w:after="0" w:afterAutospacing="0" w:line="360" w:lineRule="auto"/>
        <w:ind w:firstLine="480" w:firstLineChars="200"/>
        <w:rPr>
          <w:rFonts w:ascii="宋体" w:hAnsi="宋体" w:cs="宋体"/>
          <w:color w:val="0D0D0D"/>
          <w:sz w:val="24"/>
          <w:szCs w:val="24"/>
        </w:rPr>
      </w:pPr>
      <w:r>
        <w:rPr>
          <w:rFonts w:hint="eastAsia" w:ascii="宋体" w:hAnsi="宋体" w:cs="宋体"/>
          <w:color w:val="0D0D0D"/>
          <w:sz w:val="24"/>
          <w:szCs w:val="24"/>
        </w:rPr>
        <w:t>1、招标方与中标人应当在《中标通知书》发出</w:t>
      </w:r>
      <w:r>
        <w:rPr>
          <w:rFonts w:hint="eastAsia" w:ascii="宋体" w:hAnsi="宋体" w:cs="宋体"/>
          <w:sz w:val="24"/>
          <w:szCs w:val="24"/>
        </w:rPr>
        <w:t>之日起20日内签订政府</w:t>
      </w:r>
      <w:r>
        <w:rPr>
          <w:rFonts w:hint="eastAsia" w:ascii="宋体" w:hAnsi="宋体" w:cs="宋体"/>
          <w:color w:val="0D0D0D"/>
          <w:sz w:val="24"/>
          <w:szCs w:val="24"/>
        </w:rPr>
        <w:t>采购合同。</w:t>
      </w:r>
    </w:p>
    <w:p w14:paraId="420C075F">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2、中标人拖延、拒签合同的,将被取消中标资格，并按有关规定报有关部门处罚。</w:t>
      </w:r>
    </w:p>
    <w:p w14:paraId="7CD44E6E">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color w:val="0D0D0D"/>
          <w:sz w:val="24"/>
          <w:szCs w:val="24"/>
        </w:rPr>
      </w:pPr>
      <w:r>
        <w:rPr>
          <w:rFonts w:hint="eastAsia" w:ascii="宋体" w:hAnsi="宋体" w:cs="宋体"/>
          <w:color w:val="0D0D0D"/>
          <w:sz w:val="24"/>
          <w:szCs w:val="24"/>
        </w:rPr>
        <w:t>3、招标人不承诺将合同授予报价最低的投标人。</w:t>
      </w:r>
    </w:p>
    <w:p w14:paraId="12C44628">
      <w:pPr>
        <w:pStyle w:val="238"/>
        <w:keepNext w:val="0"/>
        <w:keepLines w:val="0"/>
        <w:pageBreakBefore w:val="0"/>
        <w:kinsoku/>
        <w:overflowPunct/>
        <w:topLinePunct w:val="0"/>
        <w:bidi w:val="0"/>
        <w:spacing w:beforeLines="0" w:beforeAutospacing="0" w:after="0" w:afterLines="0" w:afterAutospacing="0"/>
      </w:pPr>
    </w:p>
    <w:p w14:paraId="26B2E7A5">
      <w:pPr>
        <w:keepNext w:val="0"/>
        <w:keepLines w:val="0"/>
        <w:pageBreakBefore w:val="0"/>
        <w:kinsoku/>
        <w:overflowPunct/>
        <w:topLinePunct w:val="0"/>
        <w:bidi w:val="0"/>
        <w:spacing w:beforeAutospacing="0" w:after="0" w:afterAutospacing="0"/>
        <w:rPr>
          <w:rFonts w:hAnsi="宋体"/>
          <w:b/>
          <w:bCs/>
          <w:color w:val="0D0D0D"/>
          <w:sz w:val="32"/>
          <w:szCs w:val="32"/>
        </w:rPr>
      </w:pPr>
      <w:r>
        <w:rPr>
          <w:rFonts w:hAnsi="宋体"/>
          <w:b/>
          <w:bCs/>
          <w:color w:val="0D0D0D"/>
          <w:sz w:val="32"/>
          <w:szCs w:val="32"/>
        </w:rPr>
        <w:br w:type="page"/>
      </w:r>
    </w:p>
    <w:p w14:paraId="27FCBA94">
      <w:pPr>
        <w:pStyle w:val="28"/>
        <w:keepNext w:val="0"/>
        <w:keepLines w:val="0"/>
        <w:pageBreakBefore w:val="0"/>
        <w:kinsoku/>
        <w:overflowPunct/>
        <w:topLinePunct w:val="0"/>
        <w:bidi w:val="0"/>
        <w:snapToGrid w:val="0"/>
        <w:spacing w:beforeLines="0" w:beforeAutospacing="0" w:after="0" w:afterLines="0" w:afterAutospacing="0" w:line="360" w:lineRule="auto"/>
        <w:jc w:val="center"/>
        <w:outlineLvl w:val="0"/>
        <w:rPr>
          <w:rFonts w:hAnsi="宋体" w:cs="Times New Roman"/>
          <w:sz w:val="32"/>
          <w:szCs w:val="32"/>
        </w:rPr>
      </w:pPr>
      <w:r>
        <w:rPr>
          <w:rFonts w:hint="eastAsia" w:hAnsi="宋体"/>
          <w:b/>
          <w:bCs/>
          <w:color w:val="0D0D0D"/>
          <w:sz w:val="32"/>
          <w:szCs w:val="32"/>
        </w:rPr>
        <w:t>第四章  评标办法及评分标准</w:t>
      </w:r>
    </w:p>
    <w:p w14:paraId="26D8E3BD">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为公正、公平、科学地选择中标人，根据《中华人民共和国政府采购法》等有关法律法规的规定，并结合本项目的实际，制定本办法。</w:t>
      </w:r>
    </w:p>
    <w:p w14:paraId="354B82FA">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本办法仅适用于</w:t>
      </w:r>
      <w:r>
        <w:rPr>
          <w:rFonts w:hint="eastAsia" w:ascii="宋体" w:hAnsi="宋体" w:cs="宋体"/>
          <w:b/>
          <w:bCs/>
          <w:sz w:val="24"/>
          <w:szCs w:val="24"/>
          <w:u w:val="single"/>
        </w:rPr>
        <w:t>东阳剧院舞台灯光系统建设更新项目</w:t>
      </w:r>
      <w:r>
        <w:rPr>
          <w:rFonts w:hint="eastAsia" w:ascii="宋体" w:hAnsi="宋体" w:cs="宋体"/>
          <w:color w:val="0D0D0D"/>
          <w:sz w:val="24"/>
          <w:szCs w:val="24"/>
        </w:rPr>
        <w:t>的</w:t>
      </w:r>
      <w:r>
        <w:rPr>
          <w:rFonts w:hint="eastAsia" w:ascii="宋体" w:hAnsi="宋体" w:cs="宋体"/>
          <w:sz w:val="24"/>
          <w:szCs w:val="24"/>
        </w:rPr>
        <w:t>评标。</w:t>
      </w:r>
    </w:p>
    <w:p w14:paraId="5BAF6248">
      <w:pPr>
        <w:keepNext w:val="0"/>
        <w:keepLines w:val="0"/>
        <w:pageBreakBefore w:val="0"/>
        <w:kinsoku/>
        <w:overflowPunct/>
        <w:topLinePunct w:val="0"/>
        <w:bidi w:val="0"/>
        <w:spacing w:beforeAutospacing="0" w:after="0" w:afterAutospacing="0" w:line="360" w:lineRule="auto"/>
        <w:rPr>
          <w:rFonts w:ascii="宋体" w:hAnsi="宋体" w:cs="宋体"/>
          <w:b/>
          <w:bCs/>
          <w:sz w:val="24"/>
          <w:szCs w:val="24"/>
        </w:rPr>
      </w:pPr>
      <w:r>
        <w:rPr>
          <w:rFonts w:hint="eastAsia" w:ascii="宋体" w:hAnsi="宋体" w:cs="宋体"/>
          <w:b/>
          <w:bCs/>
          <w:sz w:val="24"/>
          <w:szCs w:val="24"/>
        </w:rPr>
        <w:t>一、总则</w:t>
      </w:r>
    </w:p>
    <w:p w14:paraId="189F92E6">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本次评标采用综合评分法，总分为100分，其中价格分30分，技术、商务资信分为70分。合格投标人的评标得分为各项目汇总得分，中标候选资格按评标综合得分由高到低顺序排列，得分相同的，按投标报价由低到高顺序排列；得分且投标报价相同的，按技术、商务及其它、资信得分由高到低顺序排列。排名第一的投标人为中标候选人,排名第二的投标人为候补中标候选人……其他投标人中标候选资格依此类推。评分过程中采用四舍五入法，并保留小数2位。</w:t>
      </w:r>
    </w:p>
    <w:p w14:paraId="2AA3AC07">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投标人评标</w:t>
      </w:r>
      <w:r>
        <w:rPr>
          <w:rFonts w:hint="eastAsia" w:ascii="宋体" w:hAnsi="宋体" w:cs="宋体"/>
          <w:bCs/>
          <w:sz w:val="24"/>
          <w:szCs w:val="24"/>
        </w:rPr>
        <w:t>综合得分=价格分+(技术分+商务分+资信及其他分)</w:t>
      </w:r>
    </w:p>
    <w:p w14:paraId="4421D2DA">
      <w:pPr>
        <w:keepNext w:val="0"/>
        <w:keepLines w:val="0"/>
        <w:pageBreakBefore w:val="0"/>
        <w:kinsoku/>
        <w:overflowPunct/>
        <w:topLinePunct w:val="0"/>
        <w:bidi w:val="0"/>
        <w:spacing w:beforeAutospacing="0" w:after="0" w:afterAutospacing="0" w:line="360" w:lineRule="auto"/>
        <w:rPr>
          <w:rFonts w:ascii="宋体" w:hAnsi="宋体" w:cs="宋体"/>
          <w:b/>
          <w:bCs/>
          <w:sz w:val="24"/>
          <w:szCs w:val="24"/>
        </w:rPr>
      </w:pPr>
      <w:r>
        <w:rPr>
          <w:rFonts w:hint="eastAsia" w:ascii="宋体" w:hAnsi="宋体" w:cs="宋体"/>
          <w:b/>
          <w:bCs/>
          <w:sz w:val="24"/>
          <w:szCs w:val="24"/>
        </w:rPr>
        <w:t>二、评标内容及标准</w:t>
      </w:r>
    </w:p>
    <w:p w14:paraId="471C9C64">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sz w:val="24"/>
          <w:szCs w:val="24"/>
        </w:rPr>
      </w:pPr>
      <w:r>
        <w:rPr>
          <w:rFonts w:hint="eastAsia" w:ascii="宋体" w:hAnsi="宋体" w:cs="宋体"/>
          <w:b/>
          <w:bCs/>
          <w:sz w:val="24"/>
          <w:szCs w:val="24"/>
        </w:rPr>
        <w:t>1、资信/商务/技术分</w:t>
      </w:r>
    </w:p>
    <w:p w14:paraId="673C6688">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评分标准中的国家标准如有新版时，以新版标准为准。</w:t>
      </w:r>
      <w:r>
        <w:rPr>
          <w:rFonts w:hint="eastAsia" w:ascii="宋体" w:hAnsi="宋体" w:cs="宋体"/>
          <w:sz w:val="24"/>
        </w:rPr>
        <w:t>有关评分的证书资料等原件请投标人提前准备，并单独装在档案袋中，</w:t>
      </w:r>
      <w:r>
        <w:rPr>
          <w:rFonts w:hint="eastAsia" w:ascii="宋体" w:hAnsi="宋体"/>
          <w:color w:val="000000"/>
          <w:sz w:val="24"/>
          <w:szCs w:val="24"/>
        </w:rPr>
        <w:t>如有需要将在线统一递交。</w:t>
      </w:r>
    </w:p>
    <w:p w14:paraId="0CC72CF2">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sz w:val="24"/>
          <w:szCs w:val="24"/>
        </w:rPr>
      </w:pPr>
      <w:r>
        <w:rPr>
          <w:rFonts w:hint="eastAsia" w:ascii="宋体" w:hAnsi="宋体" w:cs="宋体"/>
          <w:b/>
          <w:bCs/>
          <w:sz w:val="24"/>
          <w:szCs w:val="24"/>
        </w:rPr>
        <w:t>2、资信/商务/技术分的计算</w:t>
      </w:r>
    </w:p>
    <w:p w14:paraId="01E41A34">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按照评标委员会成员的独立评分结果的算术平均分，计算公式为：</w:t>
      </w:r>
    </w:p>
    <w:p w14:paraId="7ACCA532">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资信/商务/技术分=评标委员会所有成员评分合计数/评标委员会组成人员数</w:t>
      </w:r>
    </w:p>
    <w:p w14:paraId="62BE45A5">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b/>
          <w:bCs/>
          <w:sz w:val="24"/>
          <w:szCs w:val="24"/>
        </w:rPr>
      </w:pPr>
      <w:r>
        <w:rPr>
          <w:rFonts w:hint="eastAsia" w:ascii="宋体" w:hAnsi="宋体" w:cs="宋体"/>
          <w:b/>
          <w:bCs/>
          <w:sz w:val="24"/>
          <w:szCs w:val="24"/>
        </w:rPr>
        <w:t>3、价格分</w:t>
      </w:r>
    </w:p>
    <w:p w14:paraId="0CC6DF5F">
      <w:pPr>
        <w:keepNext w:val="0"/>
        <w:keepLines w:val="0"/>
        <w:pageBreakBefore w:val="0"/>
        <w:kinsoku/>
        <w:overflowPunct/>
        <w:topLinePunct w:val="0"/>
        <w:bidi w:val="0"/>
        <w:spacing w:beforeAutospacing="0" w:after="0" w:afterAutospacing="0" w:line="360" w:lineRule="auto"/>
        <w:ind w:firstLine="464" w:firstLineChars="200"/>
        <w:rPr>
          <w:rFonts w:ascii="宋体" w:hAnsi="宋体" w:cs="宋体"/>
          <w:spacing w:val="-4"/>
          <w:sz w:val="24"/>
          <w:szCs w:val="24"/>
        </w:rPr>
      </w:pPr>
      <w:bookmarkStart w:id="0" w:name="_Toc414870805"/>
      <w:r>
        <w:rPr>
          <w:rFonts w:hint="eastAsia" w:ascii="宋体" w:hAnsi="宋体" w:cs="宋体"/>
          <w:spacing w:val="-4"/>
          <w:sz w:val="24"/>
          <w:szCs w:val="24"/>
        </w:rPr>
        <w:t>价格分采用低价优先法计算，取所有投标技术入围投标人中，投标报价合计价格最低的报价为评标基准价，其他投标人的价格分按照下列公式计算：</w:t>
      </w:r>
    </w:p>
    <w:p w14:paraId="0B5C9C76">
      <w:pPr>
        <w:keepNext w:val="0"/>
        <w:keepLines w:val="0"/>
        <w:pageBreakBefore w:val="0"/>
        <w:widowControl/>
        <w:kinsoku/>
        <w:overflowPunct/>
        <w:topLinePunct w:val="0"/>
        <w:bidi w:val="0"/>
        <w:snapToGrid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b/>
          <w:bCs/>
          <w:sz w:val="24"/>
          <w:szCs w:val="24"/>
        </w:rPr>
        <w:t>价格分</w:t>
      </w:r>
      <w:r>
        <w:rPr>
          <w:rFonts w:hint="eastAsia" w:ascii="宋体" w:hAnsi="宋体" w:cs="宋体"/>
          <w:sz w:val="24"/>
          <w:szCs w:val="24"/>
        </w:rPr>
        <w:t>=（评标基准价/投标报价）×30</w:t>
      </w:r>
    </w:p>
    <w:p w14:paraId="617CABD9">
      <w:pPr>
        <w:keepNext w:val="0"/>
        <w:keepLines w:val="0"/>
        <w:pageBreakBefore w:val="0"/>
        <w:kinsoku/>
        <w:overflowPunct/>
        <w:topLinePunct w:val="0"/>
        <w:bidi w:val="0"/>
        <w:spacing w:beforeAutospacing="0" w:after="0" w:afterAutospacing="0" w:line="360" w:lineRule="auto"/>
        <w:rPr>
          <w:rFonts w:ascii="宋体" w:hAnsi="宋体" w:cs="宋体"/>
          <w:b/>
          <w:bCs/>
          <w:sz w:val="24"/>
          <w:szCs w:val="24"/>
        </w:rPr>
      </w:pPr>
      <w:r>
        <w:rPr>
          <w:rFonts w:hint="eastAsia" w:ascii="宋体" w:hAnsi="宋体" w:cs="宋体"/>
          <w:b/>
          <w:bCs/>
          <w:sz w:val="24"/>
          <w:szCs w:val="24"/>
        </w:rPr>
        <w:t>附件：评分标准（技术</w:t>
      </w:r>
      <w:r>
        <w:rPr>
          <w:rFonts w:ascii="宋体" w:hAnsi="宋体" w:cs="宋体"/>
          <w:b/>
          <w:bCs/>
          <w:sz w:val="24"/>
          <w:szCs w:val="24"/>
        </w:rPr>
        <w:t>/</w:t>
      </w:r>
      <w:r>
        <w:rPr>
          <w:rFonts w:hint="eastAsia" w:ascii="宋体" w:hAnsi="宋体" w:cs="宋体"/>
          <w:b/>
          <w:bCs/>
          <w:sz w:val="24"/>
          <w:szCs w:val="24"/>
        </w:rPr>
        <w:t>商务</w:t>
      </w:r>
      <w:r>
        <w:rPr>
          <w:rFonts w:ascii="宋体" w:hAnsi="宋体" w:cs="宋体"/>
          <w:b/>
          <w:bCs/>
          <w:sz w:val="24"/>
          <w:szCs w:val="24"/>
        </w:rPr>
        <w:t>/</w:t>
      </w:r>
      <w:r>
        <w:rPr>
          <w:rFonts w:hint="eastAsia" w:ascii="宋体" w:hAnsi="宋体" w:cs="宋体"/>
          <w:b/>
          <w:bCs/>
          <w:sz w:val="24"/>
          <w:szCs w:val="24"/>
        </w:rPr>
        <w:t>资信，共70分）</w:t>
      </w:r>
    </w:p>
    <w:tbl>
      <w:tblPr>
        <w:tblStyle w:val="5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723"/>
        <w:gridCol w:w="5702"/>
        <w:gridCol w:w="908"/>
      </w:tblGrid>
      <w:tr w14:paraId="7BA4B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99" w:type="pct"/>
            <w:vAlign w:val="center"/>
          </w:tcPr>
          <w:p w14:paraId="00DB7C6F">
            <w:pPr>
              <w:keepNext w:val="0"/>
              <w:keepLines w:val="0"/>
              <w:pageBreakBefore w:val="0"/>
              <w:kinsoku/>
              <w:overflowPunct/>
              <w:topLinePunct w:val="0"/>
              <w:bidi w:val="0"/>
              <w:spacing w:beforeAutospacing="0" w:after="0" w:afterAutospacing="0" w:line="400" w:lineRule="exact"/>
              <w:jc w:val="center"/>
              <w:rPr>
                <w:rFonts w:ascii="宋体" w:hAnsi="宋体" w:cs="宋体"/>
                <w:bCs/>
                <w:sz w:val="24"/>
                <w:szCs w:val="24"/>
              </w:rPr>
            </w:pPr>
            <w:r>
              <w:rPr>
                <w:rFonts w:hint="eastAsia" w:ascii="宋体" w:hAnsi="宋体" w:cs="宋体"/>
                <w:b/>
                <w:sz w:val="24"/>
                <w:szCs w:val="24"/>
              </w:rPr>
              <w:t>序号</w:t>
            </w:r>
          </w:p>
        </w:tc>
        <w:tc>
          <w:tcPr>
            <w:tcW w:w="951" w:type="pct"/>
            <w:vAlign w:val="center"/>
          </w:tcPr>
          <w:p w14:paraId="01C4548C">
            <w:pPr>
              <w:keepNext w:val="0"/>
              <w:keepLines w:val="0"/>
              <w:pageBreakBefore w:val="0"/>
              <w:kinsoku/>
              <w:overflowPunct/>
              <w:topLinePunct w:val="0"/>
              <w:bidi w:val="0"/>
              <w:spacing w:beforeAutospacing="0" w:after="0" w:afterAutospacing="0" w:line="400" w:lineRule="exact"/>
              <w:jc w:val="center"/>
              <w:rPr>
                <w:rFonts w:ascii="宋体" w:hAnsi="宋体" w:cs="宋体"/>
                <w:bCs/>
                <w:sz w:val="24"/>
                <w:szCs w:val="24"/>
              </w:rPr>
            </w:pPr>
            <w:r>
              <w:rPr>
                <w:rFonts w:hint="eastAsia" w:ascii="宋体" w:hAnsi="宋体" w:cs="宋体"/>
                <w:b/>
                <w:sz w:val="24"/>
                <w:szCs w:val="24"/>
              </w:rPr>
              <w:t>评分内容</w:t>
            </w:r>
          </w:p>
        </w:tc>
        <w:tc>
          <w:tcPr>
            <w:tcW w:w="3147" w:type="pct"/>
            <w:vAlign w:val="center"/>
          </w:tcPr>
          <w:p w14:paraId="5D04ACAC">
            <w:pPr>
              <w:keepNext w:val="0"/>
              <w:keepLines w:val="0"/>
              <w:pageBreakBefore w:val="0"/>
              <w:kinsoku/>
              <w:overflowPunct/>
              <w:topLinePunct w:val="0"/>
              <w:bidi w:val="0"/>
              <w:spacing w:beforeAutospacing="0" w:after="0" w:afterAutospacing="0" w:line="400" w:lineRule="exact"/>
              <w:jc w:val="center"/>
              <w:rPr>
                <w:rFonts w:ascii="宋体" w:hAnsi="宋体" w:cs="宋体"/>
                <w:bCs/>
                <w:sz w:val="24"/>
                <w:szCs w:val="24"/>
              </w:rPr>
            </w:pPr>
            <w:r>
              <w:rPr>
                <w:rFonts w:hint="eastAsia" w:ascii="宋体" w:hAnsi="宋体" w:cs="宋体"/>
                <w:b/>
                <w:sz w:val="24"/>
                <w:szCs w:val="24"/>
              </w:rPr>
              <w:t>评分标准</w:t>
            </w:r>
          </w:p>
        </w:tc>
        <w:tc>
          <w:tcPr>
            <w:tcW w:w="501" w:type="pct"/>
            <w:vAlign w:val="center"/>
          </w:tcPr>
          <w:p w14:paraId="58DC081C">
            <w:pPr>
              <w:keepNext w:val="0"/>
              <w:keepLines w:val="0"/>
              <w:pageBreakBefore w:val="0"/>
              <w:kinsoku/>
              <w:overflowPunct/>
              <w:topLinePunct w:val="0"/>
              <w:bidi w:val="0"/>
              <w:spacing w:beforeAutospacing="0" w:after="0" w:afterAutospacing="0" w:line="400" w:lineRule="exact"/>
              <w:jc w:val="center"/>
              <w:rPr>
                <w:rFonts w:ascii="宋体" w:hAnsi="宋体" w:cs="宋体"/>
                <w:bCs/>
                <w:sz w:val="24"/>
                <w:szCs w:val="24"/>
              </w:rPr>
            </w:pPr>
            <w:r>
              <w:rPr>
                <w:rFonts w:hint="eastAsia" w:ascii="宋体" w:hAnsi="宋体" w:cs="宋体"/>
                <w:b/>
                <w:sz w:val="24"/>
                <w:szCs w:val="24"/>
              </w:rPr>
              <w:t>分值</w:t>
            </w:r>
          </w:p>
        </w:tc>
      </w:tr>
      <w:tr w14:paraId="09300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99" w:type="pct"/>
            <w:vAlign w:val="center"/>
          </w:tcPr>
          <w:p w14:paraId="7ED32806">
            <w:pPr>
              <w:keepNext w:val="0"/>
              <w:keepLines w:val="0"/>
              <w:pageBreakBefore w:val="0"/>
              <w:kinsoku/>
              <w:wordWrap/>
              <w:overflowPunct/>
              <w:topLinePunct w:val="0"/>
              <w:autoSpaceDE/>
              <w:autoSpaceDN/>
              <w:bidi w:val="0"/>
              <w:adjustRightInd/>
              <w:snapToGrid/>
              <w:spacing w:beforeAutospacing="0" w:after="0" w:afterAutospacing="0" w:line="380" w:lineRule="exact"/>
              <w:jc w:val="center"/>
              <w:textAlignment w:val="auto"/>
              <w:rPr>
                <w:rFonts w:ascii="宋体" w:hAnsi="宋体" w:cs="宋体"/>
                <w:bCs/>
                <w:sz w:val="24"/>
                <w:szCs w:val="24"/>
              </w:rPr>
            </w:pPr>
            <w:r>
              <w:rPr>
                <w:rFonts w:hint="eastAsia" w:ascii="宋体" w:hAnsi="宋体" w:cs="宋体"/>
                <w:sz w:val="24"/>
                <w:szCs w:val="24"/>
              </w:rPr>
              <w:t>1</w:t>
            </w:r>
          </w:p>
        </w:tc>
        <w:tc>
          <w:tcPr>
            <w:tcW w:w="951" w:type="pct"/>
            <w:vAlign w:val="center"/>
          </w:tcPr>
          <w:p w14:paraId="07BA75B1">
            <w:pPr>
              <w:keepNext w:val="0"/>
              <w:keepLines w:val="0"/>
              <w:pageBreakBefore w:val="0"/>
              <w:kinsoku/>
              <w:wordWrap/>
              <w:overflowPunct/>
              <w:topLinePunct w:val="0"/>
              <w:autoSpaceDE/>
              <w:autoSpaceDN/>
              <w:bidi w:val="0"/>
              <w:adjustRightInd/>
              <w:snapToGrid/>
              <w:spacing w:beforeAutospacing="0" w:after="0" w:afterAutospacing="0" w:line="380" w:lineRule="exact"/>
              <w:jc w:val="center"/>
              <w:textAlignment w:val="auto"/>
              <w:rPr>
                <w:rFonts w:ascii="宋体" w:hAnsi="宋体" w:cs="宋体"/>
                <w:sz w:val="24"/>
                <w:szCs w:val="24"/>
              </w:rPr>
            </w:pPr>
            <w:r>
              <w:rPr>
                <w:rFonts w:hint="eastAsia" w:ascii="宋体" w:hAnsi="宋体" w:cs="宋体"/>
                <w:sz w:val="24"/>
                <w:szCs w:val="24"/>
              </w:rPr>
              <w:t>企业资信</w:t>
            </w:r>
          </w:p>
        </w:tc>
        <w:tc>
          <w:tcPr>
            <w:tcW w:w="3147" w:type="pct"/>
          </w:tcPr>
          <w:p w14:paraId="017E340A">
            <w:pPr>
              <w:keepNext w:val="0"/>
              <w:keepLines w:val="0"/>
              <w:pageBreakBefore w:val="0"/>
              <w:widowControl/>
              <w:kinsoku/>
              <w:wordWrap/>
              <w:overflowPunct/>
              <w:topLinePunct w:val="0"/>
              <w:autoSpaceDE/>
              <w:autoSpaceDN/>
              <w:bidi w:val="0"/>
              <w:adjustRightInd/>
              <w:snapToGrid/>
              <w:spacing w:beforeAutospacing="0" w:after="0" w:afterAutospacing="0" w:line="380" w:lineRule="exact"/>
              <w:jc w:val="left"/>
              <w:textAlignment w:val="auto"/>
              <w:rPr>
                <w:rFonts w:ascii="宋体" w:hAnsi="宋体" w:cs="宋体"/>
                <w:sz w:val="24"/>
                <w:szCs w:val="24"/>
                <w:highlight w:val="none"/>
              </w:rPr>
            </w:pPr>
            <w:r>
              <w:rPr>
                <w:rFonts w:hint="eastAsia" w:ascii="宋体" w:hAnsi="宋体" w:cs="宋体"/>
                <w:sz w:val="24"/>
                <w:szCs w:val="24"/>
                <w:highlight w:val="none"/>
              </w:rPr>
              <w:t>投标人具有有效期内的质量管理体系、职业健康安全管理体系、环境管理体系、信息安全管理体系认证证书且认证范围包含灯光相关专业的设计与安装，每项证书得1分，最高得4分；注：上述证明材料须提供对应证书复印件并盖章。</w:t>
            </w:r>
          </w:p>
        </w:tc>
        <w:tc>
          <w:tcPr>
            <w:tcW w:w="501" w:type="pct"/>
            <w:vAlign w:val="center"/>
          </w:tcPr>
          <w:p w14:paraId="6043663E">
            <w:pPr>
              <w:keepNext w:val="0"/>
              <w:keepLines w:val="0"/>
              <w:pageBreakBefore w:val="0"/>
              <w:kinsoku/>
              <w:wordWrap/>
              <w:overflowPunct/>
              <w:topLinePunct w:val="0"/>
              <w:autoSpaceDE/>
              <w:autoSpaceDN/>
              <w:bidi w:val="0"/>
              <w:adjustRightInd/>
              <w:snapToGrid/>
              <w:spacing w:beforeAutospacing="0" w:after="0" w:afterAutospacing="0" w:line="380" w:lineRule="exact"/>
              <w:jc w:val="center"/>
              <w:textAlignment w:val="auto"/>
              <w:rPr>
                <w:rFonts w:ascii="宋体" w:hAnsi="宋体" w:cs="宋体"/>
                <w:sz w:val="24"/>
                <w:szCs w:val="24"/>
              </w:rPr>
            </w:pPr>
            <w:r>
              <w:rPr>
                <w:rFonts w:hint="eastAsia" w:ascii="宋体" w:hAnsi="宋体" w:cs="宋体"/>
                <w:sz w:val="24"/>
                <w:szCs w:val="24"/>
              </w:rPr>
              <w:t>0-4</w:t>
            </w:r>
          </w:p>
        </w:tc>
      </w:tr>
      <w:tr w14:paraId="4280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9" w:type="pct"/>
            <w:vAlign w:val="center"/>
          </w:tcPr>
          <w:p w14:paraId="392FB3A7">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2</w:t>
            </w:r>
          </w:p>
        </w:tc>
        <w:tc>
          <w:tcPr>
            <w:tcW w:w="951" w:type="pct"/>
            <w:vAlign w:val="center"/>
          </w:tcPr>
          <w:p w14:paraId="12C0B36A">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履约能力</w:t>
            </w:r>
          </w:p>
        </w:tc>
        <w:tc>
          <w:tcPr>
            <w:tcW w:w="3147" w:type="pct"/>
          </w:tcPr>
          <w:p w14:paraId="25AA9DA2">
            <w:pPr>
              <w:keepNext w:val="0"/>
              <w:keepLines w:val="0"/>
              <w:pageBreakBefore w:val="0"/>
              <w:widowControl/>
              <w:numPr>
                <w:ilvl w:val="0"/>
                <w:numId w:val="3"/>
              </w:numPr>
              <w:kinsoku/>
              <w:overflowPunct/>
              <w:topLinePunct w:val="0"/>
              <w:bidi w:val="0"/>
              <w:spacing w:beforeAutospacing="0" w:after="0" w:afterAutospacing="0" w:line="400" w:lineRule="exact"/>
              <w:jc w:val="left"/>
              <w:rPr>
                <w:rFonts w:ascii="宋体" w:hAnsi="宋体" w:cs="宋体"/>
                <w:sz w:val="24"/>
                <w:szCs w:val="24"/>
                <w:highlight w:val="none"/>
              </w:rPr>
            </w:pPr>
            <w:r>
              <w:rPr>
                <w:rFonts w:hint="eastAsia" w:ascii="宋体" w:hAnsi="宋体" w:cs="宋体"/>
                <w:sz w:val="24"/>
                <w:szCs w:val="24"/>
                <w:highlight w:val="none"/>
              </w:rPr>
              <w:t>投标人具有中华人民共和国住房和城乡建设部颁发的建筑智能化系统设计专项资质证书，甲级得2分、</w:t>
            </w:r>
            <w:r>
              <w:rPr>
                <w:rFonts w:hint="eastAsia" w:ascii="宋体" w:hAnsi="宋体" w:cs="宋体"/>
                <w:sz w:val="24"/>
                <w:szCs w:val="24"/>
                <w:highlight w:val="none"/>
                <w:lang w:val="zh-CN"/>
              </w:rPr>
              <w:t>乙</w:t>
            </w:r>
            <w:r>
              <w:rPr>
                <w:rFonts w:hint="eastAsia" w:ascii="宋体" w:hAnsi="宋体" w:cs="宋体"/>
                <w:sz w:val="24"/>
                <w:szCs w:val="24"/>
                <w:highlight w:val="none"/>
              </w:rPr>
              <w:t>级得1分</w:t>
            </w:r>
            <w:r>
              <w:rPr>
                <w:rFonts w:hint="eastAsia" w:ascii="宋体" w:hAnsi="宋体" w:cs="宋体"/>
                <w:sz w:val="24"/>
                <w:szCs w:val="24"/>
                <w:highlight w:val="none"/>
                <w:lang w:val="zh-CN"/>
              </w:rPr>
              <w:t>；</w:t>
            </w:r>
            <w:r>
              <w:rPr>
                <w:rFonts w:hint="eastAsia" w:ascii="宋体" w:hAnsi="宋体" w:cs="宋体"/>
                <w:sz w:val="24"/>
                <w:szCs w:val="24"/>
                <w:highlight w:val="none"/>
              </w:rPr>
              <w:t>电子与智能化工程专业承包资质证书，一级得2分、二级得1分</w:t>
            </w:r>
            <w:r>
              <w:rPr>
                <w:rFonts w:hint="eastAsia" w:ascii="宋体" w:hAnsi="宋体" w:cs="宋体"/>
                <w:sz w:val="24"/>
                <w:szCs w:val="24"/>
                <w:highlight w:val="none"/>
                <w:lang w:val="zh-CN"/>
              </w:rPr>
              <w:t>；</w:t>
            </w:r>
            <w:r>
              <w:rPr>
                <w:rFonts w:hint="eastAsia" w:ascii="宋体" w:hAnsi="宋体" w:cs="宋体"/>
                <w:sz w:val="24"/>
                <w:szCs w:val="24"/>
                <w:highlight w:val="none"/>
              </w:rPr>
              <w:t>提供对应证书复印件并盖章。</w:t>
            </w:r>
          </w:p>
          <w:p w14:paraId="2CFD4B0A">
            <w:pPr>
              <w:keepNext w:val="0"/>
              <w:keepLines w:val="0"/>
              <w:pageBreakBefore w:val="0"/>
              <w:widowControl/>
              <w:numPr>
                <w:ilvl w:val="0"/>
                <w:numId w:val="3"/>
              </w:numPr>
              <w:kinsoku/>
              <w:overflowPunct/>
              <w:topLinePunct w:val="0"/>
              <w:bidi w:val="0"/>
              <w:spacing w:beforeAutospacing="0" w:after="0" w:afterAutospacing="0" w:line="400" w:lineRule="exact"/>
              <w:jc w:val="left"/>
              <w:rPr>
                <w:rFonts w:ascii="宋体" w:hAnsi="宋体" w:cs="宋体"/>
                <w:sz w:val="24"/>
                <w:szCs w:val="24"/>
                <w:highlight w:val="none"/>
              </w:rPr>
            </w:pPr>
            <w:r>
              <w:rPr>
                <w:rFonts w:hint="eastAsia" w:ascii="宋体" w:hAnsi="宋体" w:cs="宋体"/>
                <w:sz w:val="24"/>
                <w:szCs w:val="24"/>
                <w:highlight w:val="none"/>
              </w:rPr>
              <w:t>投标人具有中国演艺设备技术协会颁发的专业灯光工程综合技术能力等级证书，一级得2分，二级得1分，其他不得分；提供对应证书复印件并盖章。</w:t>
            </w:r>
          </w:p>
        </w:tc>
        <w:tc>
          <w:tcPr>
            <w:tcW w:w="501" w:type="pct"/>
            <w:vAlign w:val="center"/>
          </w:tcPr>
          <w:p w14:paraId="64DB9E2D">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0-6</w:t>
            </w:r>
          </w:p>
        </w:tc>
      </w:tr>
      <w:tr w14:paraId="2200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9" w:type="pct"/>
            <w:vAlign w:val="center"/>
          </w:tcPr>
          <w:p w14:paraId="00CDF196">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3</w:t>
            </w:r>
          </w:p>
        </w:tc>
        <w:tc>
          <w:tcPr>
            <w:tcW w:w="951" w:type="pct"/>
            <w:vAlign w:val="center"/>
          </w:tcPr>
          <w:p w14:paraId="149D94C9">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投标人业绩</w:t>
            </w:r>
          </w:p>
        </w:tc>
        <w:tc>
          <w:tcPr>
            <w:tcW w:w="3147" w:type="pct"/>
          </w:tcPr>
          <w:p w14:paraId="0EC0BF0E">
            <w:pPr>
              <w:keepNext w:val="0"/>
              <w:keepLines w:val="0"/>
              <w:pageBreakBefore w:val="0"/>
              <w:widowControl/>
              <w:kinsoku/>
              <w:overflowPunct/>
              <w:topLinePunct w:val="0"/>
              <w:bidi w:val="0"/>
              <w:spacing w:beforeAutospacing="0" w:after="0" w:afterAutospacing="0" w:line="400" w:lineRule="exact"/>
              <w:jc w:val="left"/>
              <w:rPr>
                <w:rFonts w:ascii="宋体" w:hAnsi="宋体" w:cs="宋体"/>
                <w:sz w:val="24"/>
                <w:szCs w:val="24"/>
                <w:highlight w:val="none"/>
              </w:rPr>
            </w:pPr>
            <w:r>
              <w:rPr>
                <w:rFonts w:hint="eastAsia" w:ascii="宋体" w:hAnsi="宋体" w:cs="宋体"/>
                <w:sz w:val="24"/>
                <w:szCs w:val="24"/>
                <w:highlight w:val="none"/>
              </w:rPr>
              <w:t>投标人2019年1月1日以来（以合同签订时间为准）具有类似演出场所舞台灯光项目业绩，每项1分，最高3分，提供中标通知书、合同、验收报告复印件并盖章。</w:t>
            </w:r>
          </w:p>
        </w:tc>
        <w:tc>
          <w:tcPr>
            <w:tcW w:w="501" w:type="pct"/>
            <w:vAlign w:val="center"/>
          </w:tcPr>
          <w:p w14:paraId="299787EA">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0-3</w:t>
            </w:r>
          </w:p>
        </w:tc>
      </w:tr>
      <w:tr w14:paraId="15FA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9" w:type="pct"/>
            <w:vAlign w:val="center"/>
          </w:tcPr>
          <w:p w14:paraId="1F9105EA">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4</w:t>
            </w:r>
          </w:p>
        </w:tc>
        <w:tc>
          <w:tcPr>
            <w:tcW w:w="951" w:type="pct"/>
            <w:vAlign w:val="center"/>
          </w:tcPr>
          <w:p w14:paraId="67E45B0A">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项目负责人及团队成员</w:t>
            </w:r>
          </w:p>
        </w:tc>
        <w:tc>
          <w:tcPr>
            <w:tcW w:w="3147" w:type="pct"/>
          </w:tcPr>
          <w:p w14:paraId="5D2A759C">
            <w:pPr>
              <w:keepNext w:val="0"/>
              <w:keepLines w:val="0"/>
              <w:pageBreakBefore w:val="0"/>
              <w:widowControl/>
              <w:numPr>
                <w:ilvl w:val="0"/>
                <w:numId w:val="4"/>
              </w:numPr>
              <w:kinsoku/>
              <w:overflowPunct/>
              <w:topLinePunct w:val="0"/>
              <w:bidi w:val="0"/>
              <w:spacing w:beforeAutospacing="0" w:after="0" w:afterAutospacing="0" w:line="400" w:lineRule="exact"/>
              <w:jc w:val="left"/>
              <w:rPr>
                <w:rFonts w:ascii="宋体" w:hAnsi="宋体" w:cs="宋体"/>
                <w:sz w:val="24"/>
                <w:szCs w:val="24"/>
              </w:rPr>
            </w:pPr>
            <w:r>
              <w:rPr>
                <w:rFonts w:hint="eastAsia" w:ascii="宋体" w:hAnsi="宋体" w:cs="宋体"/>
                <w:sz w:val="24"/>
                <w:szCs w:val="24"/>
              </w:rPr>
              <w:t>项目负责人同时具有高级工程师及以上职称、一级建造师证书，得2分；具有10年以上同类项目管理经验的得1分（提供本单位社保证明或者同类项目中标通知书、合同、验收报告复印件，证明材料需体现项目经理名字、时间。）</w:t>
            </w:r>
          </w:p>
          <w:p w14:paraId="6AFD3ECE">
            <w:pPr>
              <w:keepNext w:val="0"/>
              <w:keepLines w:val="0"/>
              <w:pageBreakBefore w:val="0"/>
              <w:widowControl/>
              <w:numPr>
                <w:ilvl w:val="0"/>
                <w:numId w:val="4"/>
              </w:numPr>
              <w:kinsoku/>
              <w:overflowPunct/>
              <w:topLinePunct w:val="0"/>
              <w:bidi w:val="0"/>
              <w:spacing w:beforeAutospacing="0" w:after="0" w:afterAutospacing="0" w:line="400" w:lineRule="exact"/>
              <w:jc w:val="left"/>
              <w:rPr>
                <w:rFonts w:ascii="宋体" w:hAnsi="宋体" w:cs="宋体"/>
                <w:sz w:val="24"/>
                <w:szCs w:val="24"/>
              </w:rPr>
            </w:pPr>
            <w:r>
              <w:rPr>
                <w:rFonts w:hint="eastAsia" w:ascii="宋体" w:hAnsi="宋体" w:cs="宋体"/>
                <w:sz w:val="24"/>
                <w:szCs w:val="24"/>
              </w:rPr>
              <w:t>项目技术负责人同时具有高级工程师及以上职称、一级建造师证书、中国演艺设备技术协会颁发的舞台灯光专业相关证书，得2分</w:t>
            </w:r>
          </w:p>
          <w:p w14:paraId="50E50792">
            <w:pPr>
              <w:keepNext w:val="0"/>
              <w:keepLines w:val="0"/>
              <w:pageBreakBefore w:val="0"/>
              <w:widowControl/>
              <w:numPr>
                <w:ilvl w:val="0"/>
                <w:numId w:val="4"/>
              </w:numPr>
              <w:kinsoku/>
              <w:overflowPunct/>
              <w:topLinePunct w:val="0"/>
              <w:bidi w:val="0"/>
              <w:spacing w:beforeAutospacing="0" w:after="0" w:afterAutospacing="0" w:line="400" w:lineRule="exact"/>
              <w:jc w:val="left"/>
              <w:rPr>
                <w:rFonts w:ascii="宋体" w:hAnsi="宋体" w:cs="宋体"/>
                <w:color w:val="FF0000"/>
                <w:sz w:val="24"/>
                <w:szCs w:val="24"/>
              </w:rPr>
            </w:pPr>
            <w:r>
              <w:rPr>
                <w:rFonts w:hint="eastAsia" w:ascii="宋体" w:hAnsi="宋体" w:cs="宋体"/>
                <w:sz w:val="24"/>
                <w:szCs w:val="24"/>
              </w:rPr>
              <w:t>舞台灯光的安装调试负责人同时具有高级工程师及以上职称、中国演艺设备技术协会颁发的舞台灯光专业相关证书的，得2分</w:t>
            </w:r>
          </w:p>
          <w:p w14:paraId="7C8A230C">
            <w:pPr>
              <w:keepNext w:val="0"/>
              <w:keepLines w:val="0"/>
              <w:pageBreakBefore w:val="0"/>
              <w:widowControl/>
              <w:kinsoku/>
              <w:overflowPunct/>
              <w:topLinePunct w:val="0"/>
              <w:bidi w:val="0"/>
              <w:spacing w:beforeAutospacing="0" w:after="0" w:afterAutospacing="0" w:line="400" w:lineRule="exact"/>
              <w:jc w:val="left"/>
              <w:rPr>
                <w:rFonts w:ascii="宋体" w:hAnsi="宋体" w:cs="宋体"/>
                <w:sz w:val="24"/>
                <w:szCs w:val="24"/>
              </w:rPr>
            </w:pPr>
            <w:r>
              <w:rPr>
                <w:rFonts w:hint="eastAsia" w:ascii="宋体" w:hAnsi="宋体" w:cs="宋体"/>
                <w:sz w:val="24"/>
                <w:szCs w:val="24"/>
              </w:rPr>
              <w:t>（上述人员若有重复，不累计</w:t>
            </w:r>
            <w:r>
              <w:rPr>
                <w:rFonts w:hint="eastAsia" w:ascii="宋体" w:hAnsi="宋体" w:cs="宋体"/>
                <w:sz w:val="24"/>
                <w:szCs w:val="24"/>
                <w:highlight w:val="none"/>
              </w:rPr>
              <w:t>得分，须为公司的固定职员，提供最近6个月社保证明，相关资料复印件须加盖投标人公章）。</w:t>
            </w:r>
          </w:p>
        </w:tc>
        <w:tc>
          <w:tcPr>
            <w:tcW w:w="501" w:type="pct"/>
            <w:vAlign w:val="center"/>
          </w:tcPr>
          <w:p w14:paraId="50CA9AB9">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0-7</w:t>
            </w:r>
          </w:p>
        </w:tc>
      </w:tr>
      <w:tr w14:paraId="03A2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9" w:type="pct"/>
            <w:vAlign w:val="center"/>
          </w:tcPr>
          <w:p w14:paraId="454EA002">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5</w:t>
            </w:r>
          </w:p>
        </w:tc>
        <w:tc>
          <w:tcPr>
            <w:tcW w:w="951" w:type="pct"/>
            <w:vAlign w:val="center"/>
          </w:tcPr>
          <w:p w14:paraId="2BCFD691">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总体技术方案及深化设计</w:t>
            </w:r>
          </w:p>
        </w:tc>
        <w:tc>
          <w:tcPr>
            <w:tcW w:w="3147" w:type="pct"/>
          </w:tcPr>
          <w:p w14:paraId="66B64D44">
            <w:pPr>
              <w:keepNext w:val="0"/>
              <w:keepLines w:val="0"/>
              <w:pageBreakBefore w:val="0"/>
              <w:kinsoku/>
              <w:overflowPunct/>
              <w:topLinePunct w:val="0"/>
              <w:bidi w:val="0"/>
              <w:spacing w:beforeAutospacing="0" w:after="0" w:afterAutospacing="0" w:line="400" w:lineRule="exact"/>
              <w:jc w:val="left"/>
              <w:rPr>
                <w:rFonts w:ascii="宋体" w:hAnsi="宋体" w:cs="宋体"/>
                <w:sz w:val="24"/>
                <w:szCs w:val="24"/>
              </w:rPr>
            </w:pPr>
            <w:r>
              <w:rPr>
                <w:rFonts w:hint="eastAsia" w:ascii="宋体" w:hAnsi="宋体" w:cs="宋体"/>
                <w:sz w:val="24"/>
                <w:szCs w:val="24"/>
              </w:rPr>
              <w:t>根据总体技术方案的合理性、完整性，系统所配置产品的总体性能及质量水平，深化设计方案的深度及合理性进行评析，按（0、1、2、3、4、5分）</w:t>
            </w:r>
            <w:r>
              <w:rPr>
                <w:rFonts w:hint="eastAsia" w:ascii="宋体" w:hAnsi="宋体" w:cs="宋体"/>
                <w:kern w:val="0"/>
                <w:sz w:val="24"/>
                <w:szCs w:val="24"/>
              </w:rPr>
              <w:t>进行打分</w:t>
            </w:r>
            <w:r>
              <w:rPr>
                <w:rFonts w:hint="eastAsia" w:ascii="宋体" w:hAnsi="宋体" w:cs="宋体"/>
                <w:sz w:val="24"/>
                <w:szCs w:val="24"/>
              </w:rPr>
              <w:t>,最高得5分。</w:t>
            </w:r>
          </w:p>
        </w:tc>
        <w:tc>
          <w:tcPr>
            <w:tcW w:w="501" w:type="pct"/>
            <w:vAlign w:val="center"/>
          </w:tcPr>
          <w:p w14:paraId="687A613E">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0-5</w:t>
            </w:r>
          </w:p>
        </w:tc>
      </w:tr>
      <w:tr w14:paraId="54F8E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5" w:hRule="atLeast"/>
        </w:trPr>
        <w:tc>
          <w:tcPr>
            <w:tcW w:w="399" w:type="pct"/>
            <w:vAlign w:val="center"/>
          </w:tcPr>
          <w:p w14:paraId="2E671C42">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6</w:t>
            </w:r>
          </w:p>
        </w:tc>
        <w:tc>
          <w:tcPr>
            <w:tcW w:w="951" w:type="pct"/>
            <w:vAlign w:val="center"/>
          </w:tcPr>
          <w:p w14:paraId="4B3A3666">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产品技术指标</w:t>
            </w:r>
          </w:p>
        </w:tc>
        <w:tc>
          <w:tcPr>
            <w:tcW w:w="3147" w:type="pct"/>
          </w:tcPr>
          <w:p w14:paraId="77453276">
            <w:pPr>
              <w:keepNext w:val="0"/>
              <w:keepLines w:val="0"/>
              <w:pageBreakBefore w:val="0"/>
              <w:widowControl/>
              <w:kinsoku/>
              <w:overflowPunct/>
              <w:topLinePunct w:val="0"/>
              <w:bidi w:val="0"/>
              <w:spacing w:beforeAutospacing="0" w:after="0" w:afterAutospacing="0" w:line="400" w:lineRule="exact"/>
              <w:jc w:val="left"/>
              <w:rPr>
                <w:rFonts w:ascii="宋体" w:hAnsi="宋体" w:cs="宋体"/>
                <w:sz w:val="24"/>
                <w:szCs w:val="24"/>
              </w:rPr>
            </w:pPr>
            <w:r>
              <w:rPr>
                <w:rFonts w:hint="eastAsia" w:ascii="宋体" w:hAnsi="宋体" w:cs="宋体"/>
                <w:bCs/>
                <w:sz w:val="24"/>
                <w:szCs w:val="24"/>
              </w:rPr>
              <w:t>所投产品的基本功能、技术指标（包括所投标产品的详细配置、主要技术参数等）符合指标参数得13分。允许有部分偏离，有参数负偏离的每项扣0.5分，本项分数扣完为止。备注：投标技术响应与产品制造商发布的原厂技</w:t>
            </w:r>
            <w:r>
              <w:rPr>
                <w:rFonts w:hint="eastAsia" w:ascii="宋体" w:hAnsi="宋体" w:cs="宋体"/>
                <w:bCs/>
                <w:sz w:val="24"/>
                <w:szCs w:val="24"/>
                <w:highlight w:val="none"/>
              </w:rPr>
              <w:t>术资料不一致时，以产品制造商发布的原厂技术资料为准。核心产品须提供制造商盖章的原厂技术资料。</w:t>
            </w:r>
          </w:p>
        </w:tc>
        <w:tc>
          <w:tcPr>
            <w:tcW w:w="501" w:type="pct"/>
            <w:vAlign w:val="center"/>
          </w:tcPr>
          <w:p w14:paraId="7972AACD">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0-13</w:t>
            </w:r>
          </w:p>
        </w:tc>
      </w:tr>
      <w:tr w14:paraId="78981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9" w:type="pct"/>
            <w:vAlign w:val="center"/>
          </w:tcPr>
          <w:p w14:paraId="167BA242">
            <w:pPr>
              <w:pStyle w:val="8"/>
              <w:keepNext w:val="0"/>
              <w:keepLines w:val="0"/>
              <w:pageBreakBefore w:val="0"/>
              <w:kinsoku/>
              <w:overflowPunct/>
              <w:topLinePunct w:val="0"/>
              <w:bidi w:val="0"/>
              <w:spacing w:beforeAutospacing="0" w:after="0" w:afterAutospacing="0"/>
            </w:pPr>
          </w:p>
          <w:p w14:paraId="68523568">
            <w:pPr>
              <w:pStyle w:val="8"/>
              <w:keepNext w:val="0"/>
              <w:keepLines w:val="0"/>
              <w:pageBreakBefore w:val="0"/>
              <w:kinsoku/>
              <w:overflowPunct/>
              <w:topLinePunct w:val="0"/>
              <w:bidi w:val="0"/>
              <w:spacing w:beforeAutospacing="0" w:after="0" w:afterAutospacing="0"/>
            </w:pPr>
            <w:r>
              <w:rPr>
                <w:rFonts w:hint="eastAsia" w:hAnsi="宋体"/>
                <w:sz w:val="24"/>
                <w:szCs w:val="24"/>
              </w:rPr>
              <w:t>7</w:t>
            </w:r>
          </w:p>
        </w:tc>
        <w:tc>
          <w:tcPr>
            <w:tcW w:w="951" w:type="pct"/>
            <w:vAlign w:val="center"/>
          </w:tcPr>
          <w:p w14:paraId="0B7D964D">
            <w:pPr>
              <w:keepNext w:val="0"/>
              <w:keepLines w:val="0"/>
              <w:pageBreakBefore w:val="0"/>
              <w:widowControl/>
              <w:kinsoku/>
              <w:overflowPunct/>
              <w:topLinePunct w:val="0"/>
              <w:bidi w:val="0"/>
              <w:spacing w:beforeAutospacing="0" w:after="0" w:afterAutospacing="0" w:line="400" w:lineRule="exact"/>
              <w:jc w:val="center"/>
              <w:rPr>
                <w:rFonts w:ascii="宋体" w:hAnsi="宋体" w:cs="宋体"/>
                <w:bCs/>
                <w:sz w:val="24"/>
                <w:szCs w:val="24"/>
              </w:rPr>
            </w:pPr>
            <w:r>
              <w:rPr>
                <w:rFonts w:hint="eastAsia" w:ascii="宋体" w:hAnsi="宋体" w:cs="宋体"/>
                <w:bCs/>
                <w:sz w:val="24"/>
                <w:szCs w:val="24"/>
              </w:rPr>
              <w:t>项目实施方案</w:t>
            </w:r>
          </w:p>
        </w:tc>
        <w:tc>
          <w:tcPr>
            <w:tcW w:w="3147" w:type="pct"/>
          </w:tcPr>
          <w:p w14:paraId="0E038D80">
            <w:pPr>
              <w:keepNext w:val="0"/>
              <w:keepLines w:val="0"/>
              <w:pageBreakBefore w:val="0"/>
              <w:widowControl/>
              <w:kinsoku/>
              <w:overflowPunct/>
              <w:topLinePunct w:val="0"/>
              <w:bidi w:val="0"/>
              <w:spacing w:beforeAutospacing="0" w:after="0" w:afterAutospacing="0" w:line="400" w:lineRule="exact"/>
              <w:jc w:val="left"/>
              <w:rPr>
                <w:rFonts w:ascii="宋体" w:hAnsi="宋体" w:cs="宋体"/>
                <w:bCs/>
                <w:sz w:val="24"/>
                <w:szCs w:val="24"/>
              </w:rPr>
            </w:pPr>
            <w:r>
              <w:rPr>
                <w:rFonts w:hint="eastAsia" w:ascii="宋体" w:hAnsi="宋体" w:cs="宋体"/>
                <w:bCs/>
                <w:sz w:val="24"/>
                <w:szCs w:val="24"/>
              </w:rPr>
              <w:t>1.项目整体实施方案技术先进、经济合理、实用可靠，按（0、0.5、1、1.5）进行打分,本项最高得1.5分。</w:t>
            </w:r>
          </w:p>
          <w:p w14:paraId="7B45965F">
            <w:pPr>
              <w:keepNext w:val="0"/>
              <w:keepLines w:val="0"/>
              <w:pageBreakBefore w:val="0"/>
              <w:widowControl/>
              <w:kinsoku/>
              <w:overflowPunct/>
              <w:topLinePunct w:val="0"/>
              <w:bidi w:val="0"/>
              <w:spacing w:beforeAutospacing="0" w:after="0" w:afterAutospacing="0" w:line="400" w:lineRule="exact"/>
              <w:jc w:val="left"/>
              <w:rPr>
                <w:rFonts w:ascii="宋体" w:hAnsi="宋体" w:cs="宋体"/>
                <w:bCs/>
                <w:sz w:val="24"/>
                <w:szCs w:val="24"/>
              </w:rPr>
            </w:pPr>
            <w:r>
              <w:rPr>
                <w:rFonts w:hint="eastAsia" w:ascii="宋体" w:hAnsi="宋体" w:cs="宋体"/>
                <w:bCs/>
                <w:sz w:val="24"/>
                <w:szCs w:val="24"/>
              </w:rPr>
              <w:t>2.安装调试、验收方案、组织措施（含安全文明）、技术措施等，按（0、0.5、1、1.5）进行打分,本项最高得1.5分。</w:t>
            </w:r>
          </w:p>
          <w:p w14:paraId="78787438">
            <w:pPr>
              <w:keepNext w:val="0"/>
              <w:keepLines w:val="0"/>
              <w:pageBreakBefore w:val="0"/>
              <w:widowControl/>
              <w:kinsoku/>
              <w:overflowPunct/>
              <w:topLinePunct w:val="0"/>
              <w:bidi w:val="0"/>
              <w:spacing w:beforeAutospacing="0" w:after="0" w:afterAutospacing="0" w:line="400" w:lineRule="exact"/>
              <w:jc w:val="left"/>
              <w:rPr>
                <w:rFonts w:ascii="宋体" w:hAnsi="宋体" w:cs="宋体"/>
                <w:bCs/>
                <w:sz w:val="24"/>
                <w:szCs w:val="24"/>
              </w:rPr>
            </w:pPr>
            <w:r>
              <w:rPr>
                <w:rFonts w:hint="eastAsia" w:ascii="宋体" w:hAnsi="宋体" w:cs="宋体"/>
                <w:bCs/>
                <w:sz w:val="24"/>
                <w:szCs w:val="24"/>
              </w:rPr>
              <w:t>3.项目重点难点分析、采取措施，按（0、0.5、1、1.5）进行打分,本项最高得1.5分。</w:t>
            </w:r>
          </w:p>
          <w:p w14:paraId="30E774D2">
            <w:pPr>
              <w:keepNext w:val="0"/>
              <w:keepLines w:val="0"/>
              <w:pageBreakBefore w:val="0"/>
              <w:widowControl/>
              <w:kinsoku/>
              <w:overflowPunct/>
              <w:topLinePunct w:val="0"/>
              <w:bidi w:val="0"/>
              <w:spacing w:beforeAutospacing="0" w:after="0" w:afterAutospacing="0" w:line="400" w:lineRule="exact"/>
              <w:jc w:val="left"/>
              <w:rPr>
                <w:rFonts w:ascii="宋体" w:hAnsi="宋体" w:cs="宋体"/>
                <w:bCs/>
                <w:sz w:val="24"/>
                <w:szCs w:val="24"/>
              </w:rPr>
            </w:pPr>
            <w:r>
              <w:rPr>
                <w:rFonts w:hint="eastAsia" w:ascii="宋体" w:hAnsi="宋体" w:cs="宋体"/>
                <w:bCs/>
                <w:sz w:val="24"/>
                <w:szCs w:val="24"/>
              </w:rPr>
              <w:t>4.确保实施进度计划、供应货物质量的措施，按（0、0.5、1、1.5）进行打分,本项最高得1.5分。</w:t>
            </w:r>
          </w:p>
          <w:p w14:paraId="4D9CFAFE">
            <w:pPr>
              <w:keepNext w:val="0"/>
              <w:keepLines w:val="0"/>
              <w:pageBreakBefore w:val="0"/>
              <w:widowControl/>
              <w:kinsoku/>
              <w:overflowPunct/>
              <w:topLinePunct w:val="0"/>
              <w:bidi w:val="0"/>
              <w:spacing w:beforeAutospacing="0" w:after="0" w:afterAutospacing="0" w:line="400" w:lineRule="exact"/>
              <w:jc w:val="left"/>
              <w:rPr>
                <w:rFonts w:ascii="宋体" w:hAnsi="宋体" w:cs="宋体"/>
                <w:bCs/>
                <w:sz w:val="24"/>
                <w:szCs w:val="24"/>
              </w:rPr>
            </w:pPr>
            <w:r>
              <w:rPr>
                <w:rFonts w:hint="eastAsia" w:ascii="宋体" w:hAnsi="宋体" w:cs="宋体"/>
                <w:bCs/>
                <w:sz w:val="24"/>
                <w:szCs w:val="24"/>
              </w:rPr>
              <w:t>5.投标人提供的的售后维护机构和人员等情况、售后服务方案、售后服务承诺的可行性、完整性以及服务承诺落实的保障措施、售后服务的实现方式的科学性、先进性，质保期内外的后续技术支持和维护能力情况等，按（0、0.5、1、1.5、2）进行打分,本项最高得2分。</w:t>
            </w:r>
          </w:p>
        </w:tc>
        <w:tc>
          <w:tcPr>
            <w:tcW w:w="501" w:type="pct"/>
            <w:vAlign w:val="center"/>
          </w:tcPr>
          <w:p w14:paraId="1E787F20">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p>
          <w:p w14:paraId="136E8A52">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p>
          <w:p w14:paraId="25CABB93">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p>
          <w:p w14:paraId="49A4B3D7">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p>
          <w:p w14:paraId="214955FD">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0-8</w:t>
            </w:r>
          </w:p>
        </w:tc>
      </w:tr>
      <w:tr w14:paraId="51595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9" w:type="pct"/>
            <w:vAlign w:val="center"/>
          </w:tcPr>
          <w:p w14:paraId="4F3D9885">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8</w:t>
            </w:r>
          </w:p>
        </w:tc>
        <w:tc>
          <w:tcPr>
            <w:tcW w:w="951" w:type="pct"/>
            <w:vAlign w:val="center"/>
          </w:tcPr>
          <w:p w14:paraId="55619E8E">
            <w:pPr>
              <w:keepNext w:val="0"/>
              <w:keepLines w:val="0"/>
              <w:pageBreakBefore w:val="0"/>
              <w:widowControl/>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视频演示</w:t>
            </w:r>
          </w:p>
        </w:tc>
        <w:tc>
          <w:tcPr>
            <w:tcW w:w="3147" w:type="pct"/>
          </w:tcPr>
          <w:p w14:paraId="3A0A446B">
            <w:pPr>
              <w:keepNext w:val="0"/>
              <w:keepLines w:val="0"/>
              <w:pageBreakBefore w:val="0"/>
              <w:widowControl/>
              <w:kinsoku/>
              <w:overflowPunct/>
              <w:topLinePunct w:val="0"/>
              <w:bidi w:val="0"/>
              <w:adjustRightInd w:val="0"/>
              <w:spacing w:beforeAutospacing="0" w:after="0" w:afterAutospacing="0" w:line="400" w:lineRule="exact"/>
              <w:jc w:val="left"/>
              <w:textAlignment w:val="baseline"/>
              <w:rPr>
                <w:rFonts w:ascii="宋体" w:hAnsi="宋体" w:cs="宋体"/>
                <w:sz w:val="24"/>
                <w:szCs w:val="24"/>
              </w:rPr>
            </w:pPr>
            <w:r>
              <w:rPr>
                <w:rFonts w:hint="eastAsia" w:ascii="宋体" w:hAnsi="宋体" w:cs="宋体"/>
                <w:kern w:val="0"/>
                <w:sz w:val="24"/>
                <w:szCs w:val="24"/>
              </w:rPr>
              <w:t>1、为保证剧场智能控制系统成功落地，投标人需对下述参数逐一进行演示，并提供演示视频，演示时长不得超过5分钟。未提供演示视频的不得分。评委根据以下演示内容的演示情况给予打分：</w:t>
            </w:r>
            <w:r>
              <w:rPr>
                <w:rFonts w:hint="eastAsia" w:ascii="宋体" w:hAnsi="宋体" w:cs="宋体"/>
                <w:kern w:val="0"/>
                <w:sz w:val="24"/>
                <w:szCs w:val="24"/>
              </w:rPr>
              <w:br w:type="textWrapping"/>
            </w:r>
            <w:r>
              <w:rPr>
                <w:rFonts w:hint="eastAsia" w:ascii="宋体" w:hAnsi="宋体" w:cs="宋体"/>
                <w:kern w:val="0"/>
                <w:sz w:val="24"/>
                <w:szCs w:val="24"/>
              </w:rPr>
              <w:t>（1）可通过界面式控制面板对其会议灯光进行进度条式控制（DMX 数据的 0-255 数值）线性调光或调色，同时显示每个通道的数据，可以场景模式设置和调用功能。(4分)</w:t>
            </w:r>
            <w:r>
              <w:rPr>
                <w:rFonts w:hint="eastAsia" w:ascii="宋体" w:hAnsi="宋体" w:cs="宋体"/>
                <w:kern w:val="0"/>
                <w:sz w:val="24"/>
                <w:szCs w:val="24"/>
              </w:rPr>
              <w:br w:type="textWrapping"/>
            </w:r>
            <w:r>
              <w:rPr>
                <w:rFonts w:hint="eastAsia" w:ascii="宋体" w:hAnsi="宋体" w:cs="宋体"/>
                <w:kern w:val="0"/>
                <w:sz w:val="24"/>
                <w:szCs w:val="24"/>
              </w:rPr>
              <w:t>（2）界面式控制面板在操作时，需要输入相应的密码才能进入控制界面，从而解决非管理人员非法操作。(3分)</w:t>
            </w:r>
          </w:p>
        </w:tc>
        <w:tc>
          <w:tcPr>
            <w:tcW w:w="501" w:type="pct"/>
            <w:vAlign w:val="center"/>
          </w:tcPr>
          <w:p w14:paraId="59D0813E">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0-7</w:t>
            </w:r>
          </w:p>
        </w:tc>
      </w:tr>
      <w:tr w14:paraId="2993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9" w:type="pct"/>
            <w:vAlign w:val="center"/>
          </w:tcPr>
          <w:p w14:paraId="33F5F94D">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9</w:t>
            </w:r>
          </w:p>
        </w:tc>
        <w:tc>
          <w:tcPr>
            <w:tcW w:w="951" w:type="pct"/>
            <w:vAlign w:val="center"/>
          </w:tcPr>
          <w:p w14:paraId="60E1D96A">
            <w:pPr>
              <w:keepNext w:val="0"/>
              <w:keepLines w:val="0"/>
              <w:pageBreakBefore w:val="0"/>
              <w:widowControl/>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样品</w:t>
            </w:r>
          </w:p>
        </w:tc>
        <w:tc>
          <w:tcPr>
            <w:tcW w:w="3147" w:type="pct"/>
          </w:tcPr>
          <w:p w14:paraId="699D1B10">
            <w:pPr>
              <w:keepNext w:val="0"/>
              <w:keepLines w:val="0"/>
              <w:pageBreakBefore w:val="0"/>
              <w:numPr>
                <w:ilvl w:val="255"/>
                <w:numId w:val="0"/>
              </w:numPr>
              <w:kinsoku/>
              <w:overflowPunct/>
              <w:topLinePunct w:val="0"/>
              <w:bidi w:val="0"/>
              <w:adjustRightInd w:val="0"/>
              <w:spacing w:beforeAutospacing="0" w:after="0" w:afterAutospacing="0" w:line="400" w:lineRule="exact"/>
              <w:textAlignment w:val="baseline"/>
              <w:rPr>
                <w:rFonts w:ascii="宋体" w:hAnsi="宋体" w:cs="宋体"/>
                <w:kern w:val="0"/>
                <w:sz w:val="24"/>
                <w:szCs w:val="24"/>
              </w:rPr>
            </w:pPr>
            <w:r>
              <w:rPr>
                <w:rFonts w:hint="eastAsia" w:ascii="宋体" w:hAnsi="宋体" w:cs="宋体"/>
                <w:kern w:val="0"/>
                <w:sz w:val="24"/>
                <w:szCs w:val="24"/>
              </w:rPr>
              <w:t>为保证产品质量，投标人需提供主要设备样品，未提供样品不得分，评标委员会对样品进行综合评分：</w:t>
            </w:r>
            <w:r>
              <w:rPr>
                <w:rFonts w:hint="eastAsia" w:ascii="宋体" w:hAnsi="宋体" w:cs="宋体"/>
                <w:kern w:val="0"/>
                <w:sz w:val="24"/>
                <w:szCs w:val="24"/>
              </w:rPr>
              <w:br w:type="textWrapping"/>
            </w:r>
            <w:r>
              <w:rPr>
                <w:rFonts w:hint="eastAsia" w:ascii="宋体" w:hAnsi="宋体" w:cs="宋体"/>
                <w:kern w:val="0"/>
                <w:sz w:val="24"/>
                <w:szCs w:val="24"/>
              </w:rPr>
              <w:t>1、综合灯光控制台（主）：根据产品设计外观、制作工艺、技术性能、市场认可度</w:t>
            </w:r>
            <w:r>
              <w:rPr>
                <w:rFonts w:hint="eastAsia" w:ascii="宋体" w:hAnsi="宋体" w:cs="宋体"/>
                <w:bCs/>
                <w:sz w:val="24"/>
                <w:szCs w:val="24"/>
              </w:rPr>
              <w:t>按（0.5、1、2、3）进行打分；</w:t>
            </w:r>
          </w:p>
          <w:p w14:paraId="12EECB0F">
            <w:pPr>
              <w:keepNext w:val="0"/>
              <w:keepLines w:val="0"/>
              <w:pageBreakBefore w:val="0"/>
              <w:numPr>
                <w:ilvl w:val="255"/>
                <w:numId w:val="0"/>
              </w:numPr>
              <w:kinsoku/>
              <w:overflowPunct/>
              <w:topLinePunct w:val="0"/>
              <w:bidi w:val="0"/>
              <w:adjustRightInd w:val="0"/>
              <w:spacing w:beforeAutospacing="0" w:after="0" w:afterAutospacing="0" w:line="400" w:lineRule="exact"/>
              <w:textAlignment w:val="baseline"/>
              <w:rPr>
                <w:rFonts w:ascii="宋体" w:hAnsi="宋体" w:cs="宋体"/>
                <w:kern w:val="0"/>
                <w:sz w:val="24"/>
                <w:szCs w:val="24"/>
                <w:highlight w:val="none"/>
              </w:rPr>
            </w:pPr>
            <w:r>
              <w:rPr>
                <w:rFonts w:hint="eastAsia" w:ascii="宋体" w:hAnsi="宋体" w:cs="宋体"/>
                <w:kern w:val="0"/>
                <w:sz w:val="24"/>
                <w:szCs w:val="24"/>
              </w:rPr>
              <w:t>2</w:t>
            </w:r>
            <w:r>
              <w:rPr>
                <w:rFonts w:hint="eastAsia" w:ascii="宋体" w:hAnsi="宋体" w:cs="宋体"/>
                <w:kern w:val="0"/>
                <w:sz w:val="24"/>
                <w:szCs w:val="24"/>
                <w:highlight w:val="none"/>
              </w:rPr>
              <w:t>、10°LED成像灯：根据产品工艺、亮灯1小时后的灯体温度、噪音、出光效果（线性调光、显色指数、照度）、市场认可度</w:t>
            </w:r>
            <w:r>
              <w:rPr>
                <w:rFonts w:hint="eastAsia" w:ascii="宋体" w:hAnsi="宋体" w:cs="宋体"/>
                <w:bCs/>
                <w:sz w:val="24"/>
                <w:szCs w:val="24"/>
                <w:highlight w:val="none"/>
              </w:rPr>
              <w:t>按（0.5、1、1.5、2）进行打分；</w:t>
            </w:r>
          </w:p>
          <w:p w14:paraId="120AB8B0">
            <w:pPr>
              <w:keepNext w:val="0"/>
              <w:keepLines w:val="0"/>
              <w:pageBreakBefore w:val="0"/>
              <w:numPr>
                <w:ilvl w:val="255"/>
                <w:numId w:val="0"/>
              </w:numPr>
              <w:kinsoku/>
              <w:overflowPunct/>
              <w:topLinePunct w:val="0"/>
              <w:bidi w:val="0"/>
              <w:adjustRightInd w:val="0"/>
              <w:spacing w:beforeAutospacing="0" w:after="0" w:afterAutospacing="0" w:line="400" w:lineRule="exact"/>
              <w:textAlignment w:val="baseline"/>
              <w:rPr>
                <w:rFonts w:ascii="宋体" w:hAnsi="宋体" w:cs="宋体"/>
                <w:kern w:val="0"/>
                <w:sz w:val="24"/>
                <w:szCs w:val="24"/>
                <w:highlight w:val="none"/>
              </w:rPr>
            </w:pPr>
            <w:r>
              <w:rPr>
                <w:rFonts w:hint="eastAsia" w:ascii="宋体" w:hAnsi="宋体" w:cs="宋体"/>
                <w:kern w:val="0"/>
                <w:sz w:val="24"/>
                <w:szCs w:val="24"/>
                <w:highlight w:val="none"/>
              </w:rPr>
              <w:t>3、LED会议平板灯：根据产品工艺、色温调整过程中亮度的稳定性、亮灯1小时候的灯体温度、噪音、出光效果（线性调光、显色指数、照度）、市场认可度</w:t>
            </w:r>
            <w:r>
              <w:rPr>
                <w:rFonts w:hint="eastAsia" w:ascii="宋体" w:hAnsi="宋体" w:cs="宋体"/>
                <w:bCs/>
                <w:sz w:val="24"/>
                <w:szCs w:val="24"/>
                <w:highlight w:val="none"/>
              </w:rPr>
              <w:t>按（0.5、1、1.5、2）进行打分；</w:t>
            </w:r>
          </w:p>
          <w:p w14:paraId="49BED756">
            <w:pPr>
              <w:keepNext w:val="0"/>
              <w:keepLines w:val="0"/>
              <w:pageBreakBefore w:val="0"/>
              <w:numPr>
                <w:ilvl w:val="255"/>
                <w:numId w:val="0"/>
              </w:numPr>
              <w:kinsoku/>
              <w:overflowPunct/>
              <w:topLinePunct w:val="0"/>
              <w:bidi w:val="0"/>
              <w:adjustRightInd w:val="0"/>
              <w:spacing w:beforeAutospacing="0" w:after="0" w:afterAutospacing="0" w:line="400" w:lineRule="exact"/>
              <w:textAlignment w:val="baseline"/>
              <w:rPr>
                <w:rFonts w:ascii="宋体" w:hAnsi="宋体" w:cs="宋体"/>
                <w:kern w:val="0"/>
                <w:sz w:val="24"/>
                <w:szCs w:val="24"/>
                <w:highlight w:val="none"/>
              </w:rPr>
            </w:pPr>
            <w:r>
              <w:rPr>
                <w:rFonts w:hint="eastAsia" w:ascii="宋体" w:hAnsi="宋体" w:cs="宋体"/>
                <w:kern w:val="0"/>
                <w:sz w:val="24"/>
                <w:szCs w:val="24"/>
                <w:highlight w:val="none"/>
              </w:rPr>
              <w:t>4、LED天幕灯：根据产品工艺、出光的柔和性和均匀度、出光效果（线性调光、显色指数、照度）、市场认可度</w:t>
            </w:r>
            <w:r>
              <w:rPr>
                <w:rFonts w:hint="eastAsia" w:ascii="宋体" w:hAnsi="宋体" w:cs="宋体"/>
                <w:bCs/>
                <w:sz w:val="24"/>
                <w:szCs w:val="24"/>
                <w:highlight w:val="none"/>
              </w:rPr>
              <w:t>按（0.5、1、1.5、2）进行打分；</w:t>
            </w:r>
          </w:p>
          <w:p w14:paraId="59D7DF3E">
            <w:pPr>
              <w:keepNext w:val="0"/>
              <w:keepLines w:val="0"/>
              <w:pageBreakBefore w:val="0"/>
              <w:numPr>
                <w:ilvl w:val="255"/>
                <w:numId w:val="0"/>
              </w:numPr>
              <w:kinsoku/>
              <w:overflowPunct/>
              <w:topLinePunct w:val="0"/>
              <w:bidi w:val="0"/>
              <w:adjustRightInd w:val="0"/>
              <w:spacing w:beforeAutospacing="0" w:after="0" w:afterAutospacing="0" w:line="400" w:lineRule="exact"/>
              <w:textAlignment w:val="baseline"/>
              <w:rPr>
                <w:rFonts w:ascii="宋体" w:hAnsi="宋体" w:cs="宋体"/>
                <w:kern w:val="0"/>
                <w:sz w:val="24"/>
                <w:szCs w:val="24"/>
                <w:highlight w:val="none"/>
              </w:rPr>
            </w:pPr>
            <w:r>
              <w:rPr>
                <w:rFonts w:hint="eastAsia" w:ascii="宋体" w:hAnsi="宋体" w:cs="宋体"/>
                <w:kern w:val="0"/>
                <w:sz w:val="24"/>
                <w:szCs w:val="24"/>
                <w:highlight w:val="none"/>
              </w:rPr>
              <w:t>5、LED摇头染色灯：根据产品工艺、灯具色彩和特效等效果、出光效果（线性调光、显色指数、照度）市场认可度</w:t>
            </w:r>
            <w:r>
              <w:rPr>
                <w:rFonts w:hint="eastAsia" w:ascii="宋体" w:hAnsi="宋体" w:cs="宋体"/>
                <w:bCs/>
                <w:sz w:val="24"/>
                <w:szCs w:val="24"/>
                <w:highlight w:val="none"/>
              </w:rPr>
              <w:t>按（0.5、1、1.5、2）进行打分；</w:t>
            </w:r>
          </w:p>
          <w:p w14:paraId="46EA3A13">
            <w:pPr>
              <w:keepNext w:val="0"/>
              <w:keepLines w:val="0"/>
              <w:pageBreakBefore w:val="0"/>
              <w:numPr>
                <w:ilvl w:val="255"/>
                <w:numId w:val="0"/>
              </w:numPr>
              <w:kinsoku/>
              <w:overflowPunct/>
              <w:topLinePunct w:val="0"/>
              <w:bidi w:val="0"/>
              <w:adjustRightInd w:val="0"/>
              <w:spacing w:beforeAutospacing="0" w:after="0" w:afterAutospacing="0" w:line="400" w:lineRule="exact"/>
              <w:textAlignment w:val="baseline"/>
              <w:rPr>
                <w:rFonts w:ascii="宋体" w:hAnsi="宋体" w:cs="宋体"/>
                <w:kern w:val="0"/>
                <w:sz w:val="24"/>
                <w:szCs w:val="24"/>
                <w:highlight w:val="none"/>
              </w:rPr>
            </w:pPr>
            <w:r>
              <w:rPr>
                <w:rFonts w:hint="eastAsia" w:ascii="宋体" w:hAnsi="宋体" w:cs="宋体"/>
                <w:kern w:val="0"/>
                <w:sz w:val="24"/>
                <w:szCs w:val="24"/>
                <w:highlight w:val="none"/>
              </w:rPr>
              <w:t>6、切割电脑灯：根据产品工艺、图案、颜色、切割造型、出光效果（线性调光、显色指数、照度）等综合性能、市场认可度</w:t>
            </w:r>
            <w:r>
              <w:rPr>
                <w:rFonts w:hint="eastAsia" w:ascii="宋体" w:hAnsi="宋体" w:cs="宋体"/>
                <w:bCs/>
                <w:sz w:val="24"/>
                <w:szCs w:val="24"/>
                <w:highlight w:val="none"/>
              </w:rPr>
              <w:t>按（0.5、1、1.5、2）进行打分；</w:t>
            </w:r>
          </w:p>
          <w:p w14:paraId="48511372">
            <w:pPr>
              <w:keepNext w:val="0"/>
              <w:keepLines w:val="0"/>
              <w:pageBreakBefore w:val="0"/>
              <w:numPr>
                <w:ilvl w:val="255"/>
                <w:numId w:val="0"/>
              </w:numPr>
              <w:kinsoku/>
              <w:overflowPunct/>
              <w:topLinePunct w:val="0"/>
              <w:bidi w:val="0"/>
              <w:adjustRightInd w:val="0"/>
              <w:spacing w:beforeAutospacing="0" w:after="0" w:afterAutospacing="0" w:line="400" w:lineRule="exact"/>
              <w:textAlignment w:val="baseline"/>
              <w:rPr>
                <w:rFonts w:ascii="宋体" w:hAnsi="宋体" w:cs="宋体"/>
                <w:sz w:val="24"/>
                <w:szCs w:val="24"/>
              </w:rPr>
            </w:pPr>
            <w:r>
              <w:rPr>
                <w:rFonts w:hint="eastAsia" w:ascii="宋体" w:hAnsi="宋体" w:cs="宋体"/>
                <w:kern w:val="0"/>
                <w:sz w:val="24"/>
                <w:szCs w:val="24"/>
                <w:highlight w:val="none"/>
              </w:rPr>
              <w:t>7、四合一电脑灯：根据产品工艺、光束效</w:t>
            </w:r>
            <w:r>
              <w:rPr>
                <w:rFonts w:hint="eastAsia" w:ascii="宋体" w:hAnsi="宋体" w:cs="宋体"/>
                <w:kern w:val="0"/>
                <w:sz w:val="24"/>
                <w:szCs w:val="24"/>
              </w:rPr>
              <w:t>果等综合性能、市场认可度</w:t>
            </w:r>
            <w:r>
              <w:rPr>
                <w:rFonts w:hint="eastAsia" w:ascii="宋体" w:hAnsi="宋体" w:cs="宋体"/>
                <w:bCs/>
                <w:sz w:val="24"/>
                <w:szCs w:val="24"/>
              </w:rPr>
              <w:t>按（0.5、1、1.5、2）进行打</w:t>
            </w:r>
          </w:p>
        </w:tc>
        <w:tc>
          <w:tcPr>
            <w:tcW w:w="501" w:type="pct"/>
            <w:vAlign w:val="center"/>
          </w:tcPr>
          <w:p w14:paraId="1F7CDF1F">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0-15</w:t>
            </w:r>
          </w:p>
        </w:tc>
      </w:tr>
      <w:tr w14:paraId="5F37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2" w:type="dxa"/>
            <w:vAlign w:val="center"/>
          </w:tcPr>
          <w:p w14:paraId="40015068">
            <w:pPr>
              <w:keepNext w:val="0"/>
              <w:keepLines w:val="0"/>
              <w:pageBreakBefore w:val="0"/>
              <w:widowControl/>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10</w:t>
            </w:r>
          </w:p>
        </w:tc>
        <w:tc>
          <w:tcPr>
            <w:tcW w:w="1723" w:type="dxa"/>
            <w:vAlign w:val="center"/>
          </w:tcPr>
          <w:p w14:paraId="7DBEFA0D">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环保、节能产品</w:t>
            </w:r>
          </w:p>
        </w:tc>
        <w:tc>
          <w:tcPr>
            <w:tcW w:w="5702" w:type="dxa"/>
            <w:vAlign w:val="center"/>
          </w:tcPr>
          <w:p w14:paraId="6D614666">
            <w:pPr>
              <w:keepNext w:val="0"/>
              <w:keepLines w:val="0"/>
              <w:pageBreakBefore w:val="0"/>
              <w:kinsoku/>
              <w:overflowPunct/>
              <w:topLinePunct w:val="0"/>
              <w:bidi w:val="0"/>
              <w:spacing w:beforeAutospacing="0" w:after="0" w:afterAutospacing="0" w:line="400" w:lineRule="exact"/>
              <w:rPr>
                <w:rFonts w:ascii="宋体" w:hAnsi="宋体" w:cs="宋体"/>
                <w:sz w:val="24"/>
                <w:szCs w:val="24"/>
              </w:rPr>
            </w:pPr>
            <w:r>
              <w:rPr>
                <w:rFonts w:hint="eastAsia" w:ascii="宋体" w:hAnsi="宋体" w:cs="宋体"/>
                <w:sz w:val="24"/>
                <w:szCs w:val="24"/>
              </w:rPr>
              <w:t>1）投标产品列入财政部、发展改革委发布的节能产品品目清单的，提供国家市场监督管理总局公布的《参与实施政府采购节能产品认证机构名录》内的认证机构出具的、处于有效期之内的节能标志产品认证证书的，每提供一款得0.5分，最高得1分。</w:t>
            </w:r>
          </w:p>
          <w:p w14:paraId="50FD7271">
            <w:pPr>
              <w:keepNext w:val="0"/>
              <w:keepLines w:val="0"/>
              <w:pageBreakBefore w:val="0"/>
              <w:kinsoku/>
              <w:overflowPunct/>
              <w:topLinePunct w:val="0"/>
              <w:bidi w:val="0"/>
              <w:spacing w:beforeAutospacing="0" w:after="0" w:afterAutospacing="0" w:line="400" w:lineRule="exact"/>
              <w:rPr>
                <w:rFonts w:ascii="宋体" w:hAnsi="宋体" w:cs="宋体"/>
                <w:kern w:val="0"/>
                <w:sz w:val="24"/>
                <w:szCs w:val="24"/>
              </w:rPr>
            </w:pPr>
            <w:r>
              <w:rPr>
                <w:rFonts w:hint="eastAsia" w:ascii="宋体" w:hAnsi="宋体" w:cs="宋体"/>
                <w:sz w:val="24"/>
                <w:szCs w:val="24"/>
              </w:rPr>
              <w:t>2）投标产品列入财政部、生态环境部发布的环境标志产品品目清单的，提供国家市场监督管理总局公布的《参与实施政府采购环境标志产品认证机构名录》内的认证机构出具的、处于有效期之内的环境标志产品认证证书，每提供一款得0.5分，最高得1分。</w:t>
            </w:r>
          </w:p>
        </w:tc>
        <w:tc>
          <w:tcPr>
            <w:tcW w:w="908" w:type="dxa"/>
            <w:vAlign w:val="center"/>
          </w:tcPr>
          <w:p w14:paraId="263620FD">
            <w:pPr>
              <w:keepNext w:val="0"/>
              <w:keepLines w:val="0"/>
              <w:pageBreakBefore w:val="0"/>
              <w:kinsoku/>
              <w:overflowPunct/>
              <w:topLinePunct w:val="0"/>
              <w:bidi w:val="0"/>
              <w:spacing w:beforeAutospacing="0" w:after="0" w:afterAutospacing="0" w:line="400" w:lineRule="exact"/>
              <w:jc w:val="center"/>
              <w:rPr>
                <w:rFonts w:ascii="宋体" w:hAnsi="宋体" w:cs="宋体"/>
                <w:sz w:val="24"/>
                <w:szCs w:val="24"/>
              </w:rPr>
            </w:pPr>
            <w:r>
              <w:rPr>
                <w:rFonts w:hint="eastAsia" w:ascii="宋体" w:hAnsi="宋体" w:cs="宋体"/>
                <w:sz w:val="24"/>
                <w:szCs w:val="24"/>
              </w:rPr>
              <w:t>2</w:t>
            </w:r>
          </w:p>
        </w:tc>
      </w:tr>
    </w:tbl>
    <w:p w14:paraId="57EC8B29">
      <w:pPr>
        <w:keepNext w:val="0"/>
        <w:keepLines w:val="0"/>
        <w:pageBreakBefore w:val="0"/>
        <w:kinsoku/>
        <w:overflowPunct/>
        <w:topLinePunct w:val="0"/>
        <w:bidi w:val="0"/>
        <w:spacing w:beforeAutospacing="0" w:after="0" w:afterAutospacing="0"/>
        <w:jc w:val="center"/>
        <w:rPr>
          <w:rFonts w:ascii="黑体" w:eastAsia="黑体" w:cs="黑体"/>
          <w:sz w:val="36"/>
          <w:szCs w:val="36"/>
        </w:rPr>
      </w:pPr>
    </w:p>
    <w:p w14:paraId="20D16FE7">
      <w:pPr>
        <w:keepNext w:val="0"/>
        <w:keepLines w:val="0"/>
        <w:pageBreakBefore w:val="0"/>
        <w:kinsoku/>
        <w:overflowPunct/>
        <w:topLinePunct w:val="0"/>
        <w:bidi w:val="0"/>
        <w:spacing w:beforeAutospacing="0" w:after="0" w:afterAutospacing="0"/>
        <w:rPr>
          <w:rFonts w:ascii="黑体" w:eastAsia="黑体" w:cs="黑体"/>
          <w:sz w:val="36"/>
          <w:szCs w:val="36"/>
        </w:rPr>
      </w:pPr>
      <w:r>
        <w:rPr>
          <w:rFonts w:hint="eastAsia" w:ascii="黑体" w:eastAsia="黑体" w:cs="黑体"/>
          <w:sz w:val="36"/>
          <w:szCs w:val="36"/>
        </w:rPr>
        <w:br w:type="page"/>
      </w:r>
    </w:p>
    <w:p w14:paraId="6C5C5F1A">
      <w:pPr>
        <w:keepNext w:val="0"/>
        <w:keepLines w:val="0"/>
        <w:pageBreakBefore w:val="0"/>
        <w:kinsoku/>
        <w:overflowPunct/>
        <w:topLinePunct w:val="0"/>
        <w:bidi w:val="0"/>
        <w:spacing w:beforeAutospacing="0" w:after="0" w:afterAutospacing="0"/>
        <w:jc w:val="center"/>
        <w:rPr>
          <w:rFonts w:ascii="黑体" w:eastAsia="黑体"/>
          <w:sz w:val="32"/>
          <w:szCs w:val="32"/>
        </w:rPr>
      </w:pPr>
      <w:r>
        <w:rPr>
          <w:rFonts w:hint="eastAsia" w:ascii="黑体" w:eastAsia="黑体" w:cs="黑体"/>
          <w:sz w:val="36"/>
          <w:szCs w:val="36"/>
        </w:rPr>
        <w:t>第五章    政府采购合同主要条款</w:t>
      </w:r>
      <w:bookmarkEnd w:id="0"/>
    </w:p>
    <w:p w14:paraId="626221ED">
      <w:pPr>
        <w:keepNext w:val="0"/>
        <w:keepLines w:val="0"/>
        <w:pageBreakBefore w:val="0"/>
        <w:kinsoku/>
        <w:overflowPunct/>
        <w:topLinePunct w:val="0"/>
        <w:bidi w:val="0"/>
        <w:snapToGrid w:val="0"/>
        <w:spacing w:beforeAutospacing="0" w:after="0" w:afterAutospacing="0" w:line="480" w:lineRule="auto"/>
        <w:jc w:val="center"/>
        <w:outlineLvl w:val="0"/>
        <w:rPr>
          <w:rFonts w:ascii="宋体"/>
          <w:b/>
          <w:bCs/>
          <w:sz w:val="30"/>
          <w:szCs w:val="30"/>
        </w:rPr>
      </w:pPr>
      <w:bookmarkStart w:id="1" w:name="_Toc414870806"/>
      <w:r>
        <w:rPr>
          <w:rFonts w:hint="eastAsia" w:ascii="宋体" w:cs="宋体"/>
          <w:b/>
          <w:bCs/>
          <w:sz w:val="30"/>
          <w:szCs w:val="30"/>
        </w:rPr>
        <w:t>东阳市政府采购合同（样本）</w:t>
      </w:r>
      <w:bookmarkEnd w:id="1"/>
    </w:p>
    <w:p w14:paraId="538FD94E">
      <w:pPr>
        <w:pStyle w:val="28"/>
        <w:keepNext w:val="0"/>
        <w:keepLines w:val="0"/>
        <w:pageBreakBefore w:val="0"/>
        <w:kinsoku/>
        <w:overflowPunct/>
        <w:topLinePunct w:val="0"/>
        <w:bidi w:val="0"/>
        <w:spacing w:beforeLines="0" w:beforeAutospacing="0" w:after="0" w:afterLines="0" w:afterAutospacing="0" w:line="360" w:lineRule="auto"/>
        <w:rPr>
          <w:rFonts w:hAnsi="宋体"/>
          <w:b/>
          <w:bCs/>
          <w:color w:val="000000"/>
          <w:u w:val="single"/>
        </w:rPr>
      </w:pPr>
      <w:r>
        <w:rPr>
          <w:rFonts w:hint="eastAsia" w:hAnsi="宋体"/>
          <w:b/>
          <w:bCs/>
          <w:color w:val="0D0D0D"/>
        </w:rPr>
        <w:t>项目名称：</w:t>
      </w:r>
      <w:r>
        <w:rPr>
          <w:rFonts w:hint="eastAsia" w:hAnsi="宋体"/>
          <w:b/>
          <w:bCs/>
          <w:color w:val="000000"/>
          <w:u w:val="single"/>
        </w:rPr>
        <w:t>东阳剧院舞台灯光系统建设更新项目</w:t>
      </w:r>
    </w:p>
    <w:p w14:paraId="560F858D">
      <w:pPr>
        <w:pStyle w:val="28"/>
        <w:keepNext w:val="0"/>
        <w:keepLines w:val="0"/>
        <w:pageBreakBefore w:val="0"/>
        <w:kinsoku/>
        <w:overflowPunct/>
        <w:topLinePunct w:val="0"/>
        <w:bidi w:val="0"/>
        <w:spacing w:beforeLines="0" w:beforeAutospacing="0" w:after="0" w:afterLines="0" w:afterAutospacing="0" w:line="360" w:lineRule="auto"/>
        <w:rPr>
          <w:rFonts w:hAnsi="宋体"/>
          <w:b/>
          <w:bCs/>
          <w:color w:val="0D0D0D"/>
        </w:rPr>
      </w:pPr>
      <w:r>
        <w:rPr>
          <w:rFonts w:hint="eastAsia" w:hAnsi="宋体"/>
          <w:b/>
          <w:bCs/>
          <w:color w:val="000000"/>
        </w:rPr>
        <w:t>项目</w:t>
      </w:r>
      <w:r>
        <w:rPr>
          <w:rFonts w:hint="eastAsia" w:hAnsi="宋体"/>
          <w:b/>
          <w:bCs/>
          <w:color w:val="0D0D0D"/>
        </w:rPr>
        <w:t>编号：JCZFCG2024-Z37-A347</w:t>
      </w:r>
    </w:p>
    <w:p w14:paraId="096E5E51">
      <w:pPr>
        <w:pStyle w:val="28"/>
        <w:keepNext w:val="0"/>
        <w:keepLines w:val="0"/>
        <w:pageBreakBefore w:val="0"/>
        <w:kinsoku/>
        <w:overflowPunct/>
        <w:topLinePunct w:val="0"/>
        <w:bidi w:val="0"/>
        <w:spacing w:beforeLines="0" w:beforeAutospacing="0" w:after="0" w:afterLines="0" w:afterAutospacing="0" w:line="360" w:lineRule="auto"/>
        <w:rPr>
          <w:rFonts w:hAnsi="宋体"/>
          <w:b/>
          <w:bCs/>
          <w:color w:val="0D0D0D"/>
          <w:u w:val="single"/>
        </w:rPr>
      </w:pPr>
      <w:r>
        <w:rPr>
          <w:rFonts w:hint="eastAsia" w:hAnsi="宋体"/>
          <w:b/>
          <w:bCs/>
          <w:color w:val="0D0D0D"/>
        </w:rPr>
        <w:t>甲方（采购方）：</w:t>
      </w:r>
    </w:p>
    <w:p w14:paraId="008E4961">
      <w:pPr>
        <w:pStyle w:val="28"/>
        <w:keepNext w:val="0"/>
        <w:keepLines w:val="0"/>
        <w:pageBreakBefore w:val="0"/>
        <w:kinsoku/>
        <w:overflowPunct/>
        <w:topLinePunct w:val="0"/>
        <w:bidi w:val="0"/>
        <w:spacing w:beforeLines="0" w:beforeAutospacing="0" w:after="0" w:afterLines="0" w:afterAutospacing="0" w:line="360" w:lineRule="auto"/>
        <w:rPr>
          <w:rFonts w:hAnsi="宋体"/>
          <w:b/>
          <w:bCs/>
          <w:color w:val="0D0D0D"/>
        </w:rPr>
      </w:pPr>
      <w:r>
        <w:rPr>
          <w:rFonts w:hint="eastAsia" w:hAnsi="宋体"/>
          <w:b/>
          <w:bCs/>
          <w:color w:val="0D0D0D"/>
        </w:rPr>
        <w:t>乙方</w:t>
      </w:r>
      <w:r>
        <w:rPr>
          <w:rFonts w:hint="eastAsia" w:hAnsi="宋体"/>
          <w:b/>
          <w:bCs/>
        </w:rPr>
        <w:t>（供货单位）</w:t>
      </w:r>
      <w:r>
        <w:rPr>
          <w:rFonts w:hint="eastAsia" w:hAnsi="宋体"/>
          <w:b/>
          <w:bCs/>
          <w:color w:val="0D0D0D"/>
        </w:rPr>
        <w:t>：</w:t>
      </w:r>
    </w:p>
    <w:p w14:paraId="5CCC1455">
      <w:pPr>
        <w:pStyle w:val="28"/>
        <w:keepNext w:val="0"/>
        <w:keepLines w:val="0"/>
        <w:pageBreakBefore w:val="0"/>
        <w:kinsoku/>
        <w:overflowPunct/>
        <w:topLinePunct w:val="0"/>
        <w:bidi w:val="0"/>
        <w:snapToGrid w:val="0"/>
        <w:spacing w:beforeLines="0" w:beforeAutospacing="0" w:after="0" w:afterLines="0" w:afterAutospacing="0" w:line="360" w:lineRule="auto"/>
        <w:ind w:firstLine="480" w:firstLineChars="200"/>
        <w:rPr>
          <w:rFonts w:hAnsi="宋体"/>
        </w:rPr>
      </w:pPr>
      <w:r>
        <w:rPr>
          <w:rFonts w:hint="eastAsia" w:hAnsi="宋体"/>
          <w:color w:val="0D0D0D"/>
        </w:rPr>
        <w:t>根据</w:t>
      </w:r>
      <w:r>
        <w:rPr>
          <w:rFonts w:hint="eastAsia" w:hAnsi="宋体"/>
          <w:u w:val="single"/>
        </w:rPr>
        <w:t>2024年</w:t>
      </w:r>
      <w:r>
        <w:rPr>
          <w:rFonts w:hint="eastAsia" w:hAnsi="宋体"/>
          <w:u w:val="single"/>
          <w:lang w:val="en-US" w:eastAsia="zh-CN"/>
        </w:rPr>
        <w:t>10</w:t>
      </w:r>
      <w:r>
        <w:rPr>
          <w:rFonts w:hint="eastAsia" w:hAnsi="宋体"/>
          <w:u w:val="single"/>
        </w:rPr>
        <w:t>月</w:t>
      </w:r>
      <w:r>
        <w:rPr>
          <w:rFonts w:hint="eastAsia" w:hAnsi="宋体"/>
          <w:u w:val="single"/>
          <w:lang w:val="en-US" w:eastAsia="zh-CN"/>
        </w:rPr>
        <w:t>9</w:t>
      </w:r>
      <w:r>
        <w:rPr>
          <w:rFonts w:hint="eastAsia" w:hAnsi="宋体"/>
          <w:u w:val="single"/>
        </w:rPr>
        <w:t>日</w:t>
      </w:r>
      <w:r>
        <w:rPr>
          <w:rFonts w:hint="eastAsia" w:hAnsi="宋体"/>
          <w:color w:val="0D0D0D"/>
        </w:rPr>
        <w:t>金华市金诚招投标代理有限公司关于</w:t>
      </w:r>
      <w:r>
        <w:rPr>
          <w:rFonts w:hint="eastAsia" w:hAnsi="宋体"/>
          <w:color w:val="000000"/>
          <w:u w:val="single"/>
        </w:rPr>
        <w:t>东阳剧院舞台灯光系统建设更新项目</w:t>
      </w:r>
      <w:r>
        <w:rPr>
          <w:rFonts w:hint="eastAsia" w:hAnsi="宋体"/>
          <w:color w:val="0D0D0D"/>
        </w:rPr>
        <w:t>公开招标的结果，</w:t>
      </w:r>
      <w:r>
        <w:rPr>
          <w:rFonts w:hint="eastAsia" w:hAnsi="宋体"/>
        </w:rPr>
        <w:t>确定乙方为本项目的供应单位。并经双方进一步协商一致，签订本合同，共同执行。</w:t>
      </w:r>
    </w:p>
    <w:p w14:paraId="4ABC21D1">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一、合同文件：招标文件、投标文件、技术澄清及询标答复的所有内容是构成合同不可分割的部分，与本合同具有同等法律效力，如文件各项条款有相互矛盾之处，以签订在后的文件为准。</w:t>
      </w:r>
    </w:p>
    <w:p w14:paraId="11375FB5">
      <w:pPr>
        <w:pStyle w:val="28"/>
        <w:keepNext w:val="0"/>
        <w:keepLines w:val="0"/>
        <w:pageBreakBefore w:val="0"/>
        <w:kinsoku/>
        <w:overflowPunct/>
        <w:topLinePunct w:val="0"/>
        <w:bidi w:val="0"/>
        <w:snapToGrid w:val="0"/>
        <w:spacing w:beforeLines="0" w:beforeAutospacing="0" w:after="0" w:afterLines="0" w:afterAutospacing="0" w:line="360" w:lineRule="auto"/>
        <w:ind w:firstLine="480" w:firstLineChars="200"/>
        <w:rPr>
          <w:rFonts w:hAnsi="宋体"/>
          <w:b/>
          <w:bCs/>
        </w:rPr>
      </w:pPr>
      <w:r>
        <w:rPr>
          <w:rFonts w:hint="eastAsia" w:hAnsi="宋体"/>
          <w:b/>
          <w:bCs/>
        </w:rPr>
        <w:t>二、项目内容、产品规格型号、技术参数及合同价款明细</w:t>
      </w:r>
    </w:p>
    <w:tbl>
      <w:tblPr>
        <w:tblStyle w:val="49"/>
        <w:tblW w:w="897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0"/>
        <w:gridCol w:w="1417"/>
        <w:gridCol w:w="709"/>
        <w:gridCol w:w="709"/>
        <w:gridCol w:w="1701"/>
        <w:gridCol w:w="1987"/>
        <w:gridCol w:w="851"/>
        <w:gridCol w:w="845"/>
      </w:tblGrid>
      <w:tr w14:paraId="6B467C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675E7B29">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b/>
                <w:color w:val="0D0D0D"/>
                <w:sz w:val="24"/>
                <w:szCs w:val="24"/>
              </w:rPr>
            </w:pPr>
            <w:r>
              <w:rPr>
                <w:rFonts w:hint="eastAsia" w:ascii="宋体" w:hAnsi="宋体" w:cs="宋体"/>
                <w:b/>
                <w:color w:val="0D0D0D"/>
                <w:sz w:val="24"/>
                <w:szCs w:val="24"/>
              </w:rPr>
              <w:t>序号</w:t>
            </w:r>
          </w:p>
        </w:tc>
        <w:tc>
          <w:tcPr>
            <w:tcW w:w="1417" w:type="dxa"/>
            <w:tcBorders>
              <w:top w:val="single" w:color="auto" w:sz="4" w:space="0"/>
              <w:left w:val="single" w:color="auto" w:sz="4" w:space="0"/>
              <w:bottom w:val="single" w:color="auto" w:sz="4" w:space="0"/>
              <w:right w:val="single" w:color="auto" w:sz="4" w:space="0"/>
            </w:tcBorders>
            <w:vAlign w:val="center"/>
          </w:tcPr>
          <w:p w14:paraId="6B20EE8B">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b/>
                <w:color w:val="0D0D0D"/>
                <w:sz w:val="24"/>
                <w:szCs w:val="24"/>
              </w:rPr>
            </w:pPr>
            <w:r>
              <w:rPr>
                <w:rFonts w:hint="eastAsia" w:ascii="宋体" w:hAnsi="宋体" w:cs="宋体"/>
                <w:b/>
                <w:color w:val="0D0D0D"/>
                <w:sz w:val="24"/>
                <w:szCs w:val="24"/>
              </w:rPr>
              <w:t>货物名称</w:t>
            </w:r>
          </w:p>
        </w:tc>
        <w:tc>
          <w:tcPr>
            <w:tcW w:w="709" w:type="dxa"/>
            <w:tcBorders>
              <w:top w:val="single" w:color="auto" w:sz="4" w:space="0"/>
              <w:left w:val="single" w:color="auto" w:sz="4" w:space="0"/>
              <w:bottom w:val="single" w:color="auto" w:sz="4" w:space="0"/>
              <w:right w:val="single" w:color="auto" w:sz="4" w:space="0"/>
            </w:tcBorders>
            <w:vAlign w:val="center"/>
          </w:tcPr>
          <w:p w14:paraId="62CF4995">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b/>
                <w:color w:val="0D0D0D"/>
                <w:sz w:val="24"/>
                <w:szCs w:val="24"/>
              </w:rPr>
            </w:pPr>
            <w:r>
              <w:rPr>
                <w:rFonts w:hint="eastAsia" w:ascii="宋体" w:hAnsi="宋体" w:cs="宋体"/>
                <w:b/>
                <w:color w:val="0D0D0D"/>
                <w:sz w:val="24"/>
                <w:szCs w:val="24"/>
              </w:rPr>
              <w:t>数量</w:t>
            </w:r>
          </w:p>
        </w:tc>
        <w:tc>
          <w:tcPr>
            <w:tcW w:w="709" w:type="dxa"/>
            <w:tcBorders>
              <w:top w:val="single" w:color="auto" w:sz="4" w:space="0"/>
              <w:left w:val="single" w:color="auto" w:sz="4" w:space="0"/>
              <w:bottom w:val="single" w:color="auto" w:sz="4" w:space="0"/>
              <w:right w:val="single" w:color="auto" w:sz="4" w:space="0"/>
            </w:tcBorders>
            <w:vAlign w:val="center"/>
          </w:tcPr>
          <w:p w14:paraId="0F831111">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b/>
                <w:color w:val="0D0D0D"/>
                <w:sz w:val="24"/>
                <w:szCs w:val="24"/>
              </w:rPr>
            </w:pPr>
            <w:r>
              <w:rPr>
                <w:rFonts w:hint="eastAsia" w:ascii="宋体" w:hAnsi="宋体" w:cs="宋体"/>
                <w:b/>
                <w:color w:val="0D0D0D"/>
                <w:sz w:val="24"/>
                <w:szCs w:val="24"/>
              </w:rPr>
              <w:t>产地</w:t>
            </w:r>
          </w:p>
        </w:tc>
        <w:tc>
          <w:tcPr>
            <w:tcW w:w="1701" w:type="dxa"/>
            <w:tcBorders>
              <w:top w:val="single" w:color="auto" w:sz="4" w:space="0"/>
              <w:left w:val="single" w:color="auto" w:sz="4" w:space="0"/>
              <w:bottom w:val="single" w:color="auto" w:sz="4" w:space="0"/>
              <w:right w:val="single" w:color="auto" w:sz="4" w:space="0"/>
            </w:tcBorders>
            <w:vAlign w:val="center"/>
          </w:tcPr>
          <w:p w14:paraId="19D0BED4">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b/>
                <w:color w:val="0D0D0D"/>
                <w:sz w:val="24"/>
                <w:szCs w:val="24"/>
              </w:rPr>
            </w:pPr>
            <w:r>
              <w:rPr>
                <w:rFonts w:hint="eastAsia" w:ascii="宋体" w:hAnsi="宋体" w:cs="宋体"/>
                <w:b/>
                <w:color w:val="0D0D0D"/>
                <w:sz w:val="24"/>
                <w:szCs w:val="24"/>
              </w:rPr>
              <w:t>品牌及厂家</w:t>
            </w:r>
          </w:p>
        </w:tc>
        <w:tc>
          <w:tcPr>
            <w:tcW w:w="1987" w:type="dxa"/>
            <w:tcBorders>
              <w:top w:val="single" w:color="auto" w:sz="4" w:space="0"/>
              <w:left w:val="single" w:color="auto" w:sz="4" w:space="0"/>
              <w:bottom w:val="single" w:color="auto" w:sz="4" w:space="0"/>
              <w:right w:val="single" w:color="auto" w:sz="4" w:space="0"/>
            </w:tcBorders>
            <w:vAlign w:val="center"/>
          </w:tcPr>
          <w:p w14:paraId="79198781">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b/>
                <w:color w:val="0D0D0D"/>
                <w:sz w:val="24"/>
                <w:szCs w:val="24"/>
              </w:rPr>
            </w:pPr>
            <w:r>
              <w:rPr>
                <w:rFonts w:hint="eastAsia" w:ascii="宋体" w:hAnsi="宋体" w:cs="宋体"/>
                <w:b/>
                <w:color w:val="0D0D0D"/>
                <w:sz w:val="24"/>
                <w:szCs w:val="24"/>
              </w:rPr>
              <w:t>规格型号</w:t>
            </w:r>
          </w:p>
        </w:tc>
        <w:tc>
          <w:tcPr>
            <w:tcW w:w="851" w:type="dxa"/>
            <w:tcBorders>
              <w:top w:val="single" w:color="auto" w:sz="4" w:space="0"/>
              <w:left w:val="single" w:color="auto" w:sz="4" w:space="0"/>
              <w:bottom w:val="single" w:color="auto" w:sz="4" w:space="0"/>
              <w:right w:val="single" w:color="auto" w:sz="4" w:space="0"/>
            </w:tcBorders>
            <w:vAlign w:val="center"/>
          </w:tcPr>
          <w:p w14:paraId="6EE82924">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b/>
                <w:color w:val="0D0D0D"/>
                <w:sz w:val="24"/>
                <w:szCs w:val="24"/>
              </w:rPr>
            </w:pPr>
            <w:r>
              <w:rPr>
                <w:rFonts w:hint="eastAsia" w:ascii="宋体" w:hAnsi="宋体" w:cs="宋体"/>
                <w:b/>
                <w:color w:val="0D0D0D"/>
                <w:sz w:val="24"/>
                <w:szCs w:val="24"/>
              </w:rPr>
              <w:t>单价</w:t>
            </w:r>
          </w:p>
        </w:tc>
        <w:tc>
          <w:tcPr>
            <w:tcW w:w="845" w:type="dxa"/>
            <w:tcBorders>
              <w:top w:val="single" w:color="auto" w:sz="4" w:space="0"/>
              <w:left w:val="single" w:color="auto" w:sz="4" w:space="0"/>
              <w:bottom w:val="single" w:color="auto" w:sz="4" w:space="0"/>
              <w:right w:val="single" w:color="auto" w:sz="4" w:space="0"/>
            </w:tcBorders>
            <w:vAlign w:val="center"/>
          </w:tcPr>
          <w:p w14:paraId="1A7E5BA9">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b/>
                <w:color w:val="0D0D0D"/>
                <w:sz w:val="24"/>
                <w:szCs w:val="24"/>
              </w:rPr>
            </w:pPr>
            <w:r>
              <w:rPr>
                <w:rFonts w:hint="eastAsia" w:ascii="宋体" w:hAnsi="宋体" w:cs="宋体"/>
                <w:b/>
                <w:color w:val="0D0D0D"/>
                <w:sz w:val="24"/>
                <w:szCs w:val="24"/>
              </w:rPr>
              <w:t>合价</w:t>
            </w:r>
          </w:p>
        </w:tc>
      </w:tr>
      <w:tr w14:paraId="3A7A8C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1BD61528">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color w:val="0D0D0D"/>
                <w:sz w:val="24"/>
                <w:szCs w:val="24"/>
              </w:rPr>
            </w:pPr>
            <w:r>
              <w:rPr>
                <w:rFonts w:hint="eastAsia" w:ascii="宋体" w:hAnsi="宋体" w:cs="宋体"/>
                <w:color w:val="0D0D0D"/>
                <w:sz w:val="24"/>
                <w:szCs w:val="24"/>
              </w:rPr>
              <w:t>1</w:t>
            </w:r>
          </w:p>
        </w:tc>
        <w:tc>
          <w:tcPr>
            <w:tcW w:w="1417" w:type="dxa"/>
            <w:tcBorders>
              <w:top w:val="single" w:color="auto" w:sz="4" w:space="0"/>
              <w:left w:val="single" w:color="auto" w:sz="4" w:space="0"/>
              <w:bottom w:val="single" w:color="auto" w:sz="4" w:space="0"/>
              <w:right w:val="single" w:color="auto" w:sz="4" w:space="0"/>
            </w:tcBorders>
            <w:vAlign w:val="center"/>
          </w:tcPr>
          <w:p w14:paraId="4F35F921">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EA18343">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A617CE9">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9670911">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1987" w:type="dxa"/>
            <w:tcBorders>
              <w:top w:val="single" w:color="auto" w:sz="4" w:space="0"/>
              <w:left w:val="single" w:color="auto" w:sz="4" w:space="0"/>
              <w:bottom w:val="single" w:color="auto" w:sz="4" w:space="0"/>
              <w:right w:val="single" w:color="auto" w:sz="4" w:space="0"/>
            </w:tcBorders>
            <w:vAlign w:val="center"/>
          </w:tcPr>
          <w:p w14:paraId="35DBA7D7">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356969F8">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845" w:type="dxa"/>
            <w:tcBorders>
              <w:top w:val="single" w:color="auto" w:sz="4" w:space="0"/>
              <w:left w:val="single" w:color="auto" w:sz="4" w:space="0"/>
              <w:bottom w:val="single" w:color="auto" w:sz="4" w:space="0"/>
              <w:right w:val="single" w:color="auto" w:sz="4" w:space="0"/>
            </w:tcBorders>
            <w:vAlign w:val="center"/>
          </w:tcPr>
          <w:p w14:paraId="4D7044C6">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r>
      <w:tr w14:paraId="431C07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3B71F4B5">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color w:val="0D0D0D"/>
                <w:sz w:val="24"/>
                <w:szCs w:val="24"/>
              </w:rPr>
            </w:pPr>
            <w:r>
              <w:rPr>
                <w:rFonts w:hint="eastAsia" w:ascii="宋体" w:hAnsi="宋体" w:cs="宋体"/>
                <w:color w:val="0D0D0D"/>
                <w:sz w:val="24"/>
                <w:szCs w:val="24"/>
              </w:rPr>
              <w:t>2</w:t>
            </w:r>
          </w:p>
        </w:tc>
        <w:tc>
          <w:tcPr>
            <w:tcW w:w="1417" w:type="dxa"/>
            <w:tcBorders>
              <w:top w:val="single" w:color="auto" w:sz="4" w:space="0"/>
              <w:left w:val="single" w:color="auto" w:sz="4" w:space="0"/>
              <w:bottom w:val="single" w:color="auto" w:sz="4" w:space="0"/>
              <w:right w:val="single" w:color="auto" w:sz="4" w:space="0"/>
            </w:tcBorders>
            <w:vAlign w:val="center"/>
          </w:tcPr>
          <w:p w14:paraId="5D23B258">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350EE15">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84FF2E9">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A569DD0">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1987" w:type="dxa"/>
            <w:tcBorders>
              <w:top w:val="single" w:color="auto" w:sz="4" w:space="0"/>
              <w:left w:val="single" w:color="auto" w:sz="4" w:space="0"/>
              <w:bottom w:val="single" w:color="auto" w:sz="4" w:space="0"/>
              <w:right w:val="single" w:color="auto" w:sz="4" w:space="0"/>
            </w:tcBorders>
            <w:vAlign w:val="center"/>
          </w:tcPr>
          <w:p w14:paraId="1FD69D51">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3AF0157B">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845" w:type="dxa"/>
            <w:tcBorders>
              <w:top w:val="single" w:color="auto" w:sz="4" w:space="0"/>
              <w:left w:val="single" w:color="auto" w:sz="4" w:space="0"/>
              <w:bottom w:val="single" w:color="auto" w:sz="4" w:space="0"/>
              <w:right w:val="single" w:color="auto" w:sz="4" w:space="0"/>
            </w:tcBorders>
            <w:vAlign w:val="center"/>
          </w:tcPr>
          <w:p w14:paraId="574FB8F2">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r>
      <w:tr w14:paraId="70041A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015015AD">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color w:val="0D0D0D"/>
                <w:sz w:val="24"/>
                <w:szCs w:val="24"/>
              </w:rPr>
            </w:pPr>
            <w:r>
              <w:rPr>
                <w:rFonts w:hint="eastAsia" w:ascii="宋体" w:hAnsi="宋体" w:cs="宋体"/>
                <w:color w:val="0D0D0D"/>
                <w:sz w:val="24"/>
                <w:szCs w:val="24"/>
              </w:rPr>
              <w:t>3</w:t>
            </w:r>
          </w:p>
        </w:tc>
        <w:tc>
          <w:tcPr>
            <w:tcW w:w="1417" w:type="dxa"/>
            <w:tcBorders>
              <w:top w:val="single" w:color="auto" w:sz="4" w:space="0"/>
              <w:left w:val="single" w:color="auto" w:sz="4" w:space="0"/>
              <w:bottom w:val="single" w:color="auto" w:sz="4" w:space="0"/>
              <w:right w:val="single" w:color="auto" w:sz="4" w:space="0"/>
            </w:tcBorders>
            <w:vAlign w:val="center"/>
          </w:tcPr>
          <w:p w14:paraId="7B8C7CDC">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43B51796">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1C19249">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53A7852">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1987" w:type="dxa"/>
            <w:tcBorders>
              <w:top w:val="single" w:color="auto" w:sz="4" w:space="0"/>
              <w:left w:val="single" w:color="auto" w:sz="4" w:space="0"/>
              <w:bottom w:val="single" w:color="auto" w:sz="4" w:space="0"/>
              <w:right w:val="single" w:color="auto" w:sz="4" w:space="0"/>
            </w:tcBorders>
            <w:vAlign w:val="center"/>
          </w:tcPr>
          <w:p w14:paraId="230B9C21">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226F5B9D">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845" w:type="dxa"/>
            <w:tcBorders>
              <w:top w:val="single" w:color="auto" w:sz="4" w:space="0"/>
              <w:left w:val="single" w:color="auto" w:sz="4" w:space="0"/>
              <w:bottom w:val="single" w:color="auto" w:sz="4" w:space="0"/>
              <w:right w:val="single" w:color="auto" w:sz="4" w:space="0"/>
            </w:tcBorders>
            <w:vAlign w:val="center"/>
          </w:tcPr>
          <w:p w14:paraId="703B24C0">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r>
      <w:tr w14:paraId="0C793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4468D274">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color w:val="0D0D0D"/>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1F7EBF3C">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4C1DCCE3">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58E777C">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7EA3F26">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1987" w:type="dxa"/>
            <w:tcBorders>
              <w:top w:val="single" w:color="auto" w:sz="4" w:space="0"/>
              <w:left w:val="single" w:color="auto" w:sz="4" w:space="0"/>
              <w:bottom w:val="single" w:color="auto" w:sz="4" w:space="0"/>
              <w:right w:val="single" w:color="auto" w:sz="4" w:space="0"/>
            </w:tcBorders>
            <w:vAlign w:val="center"/>
          </w:tcPr>
          <w:p w14:paraId="6285074F">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1435D09B">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c>
          <w:tcPr>
            <w:tcW w:w="845" w:type="dxa"/>
            <w:tcBorders>
              <w:top w:val="single" w:color="auto" w:sz="4" w:space="0"/>
              <w:left w:val="single" w:color="auto" w:sz="4" w:space="0"/>
              <w:bottom w:val="single" w:color="auto" w:sz="4" w:space="0"/>
              <w:right w:val="single" w:color="auto" w:sz="4" w:space="0"/>
            </w:tcBorders>
            <w:vAlign w:val="center"/>
          </w:tcPr>
          <w:p w14:paraId="51AE02C6">
            <w:pPr>
              <w:keepNext w:val="0"/>
              <w:keepLines w:val="0"/>
              <w:pageBreakBefore w:val="0"/>
              <w:widowControl/>
              <w:kinsoku/>
              <w:overflowPunct/>
              <w:topLinePunct w:val="0"/>
              <w:bidi w:val="0"/>
              <w:spacing w:beforeAutospacing="0" w:after="0" w:afterAutospacing="0" w:line="360" w:lineRule="auto"/>
              <w:rPr>
                <w:rFonts w:ascii="宋体" w:hAnsi="宋体" w:cs="宋体"/>
                <w:color w:val="000000"/>
                <w:kern w:val="0"/>
                <w:sz w:val="24"/>
                <w:szCs w:val="24"/>
              </w:rPr>
            </w:pPr>
          </w:p>
        </w:tc>
      </w:tr>
      <w:tr w14:paraId="1233AF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1" w:hRule="atLeast"/>
          <w:jc w:val="center"/>
        </w:trPr>
        <w:tc>
          <w:tcPr>
            <w:tcW w:w="8979" w:type="dxa"/>
            <w:gridSpan w:val="8"/>
            <w:tcBorders>
              <w:top w:val="single" w:color="auto" w:sz="4" w:space="0"/>
              <w:left w:val="single" w:color="auto" w:sz="4" w:space="0"/>
              <w:bottom w:val="single" w:color="auto" w:sz="4" w:space="0"/>
              <w:right w:val="single" w:color="auto" w:sz="4" w:space="0"/>
            </w:tcBorders>
            <w:vAlign w:val="center"/>
          </w:tcPr>
          <w:p w14:paraId="0ADC621E">
            <w:pPr>
              <w:keepNext w:val="0"/>
              <w:keepLines w:val="0"/>
              <w:pageBreakBefore w:val="0"/>
              <w:kinsoku/>
              <w:overflowPunct/>
              <w:topLinePunct w:val="0"/>
              <w:bidi w:val="0"/>
              <w:snapToGrid w:val="0"/>
              <w:spacing w:beforeAutospacing="0" w:after="0" w:afterAutospacing="0" w:line="360" w:lineRule="auto"/>
              <w:rPr>
                <w:rFonts w:ascii="宋体" w:hAnsi="宋体" w:cs="宋体"/>
                <w:color w:val="0D0D0D"/>
                <w:sz w:val="24"/>
                <w:szCs w:val="24"/>
              </w:rPr>
            </w:pPr>
            <w:r>
              <w:rPr>
                <w:rFonts w:hint="eastAsia" w:ascii="宋体" w:hAnsi="宋体" w:cs="宋体"/>
                <w:color w:val="0D0D0D"/>
                <w:sz w:val="24"/>
                <w:szCs w:val="24"/>
              </w:rPr>
              <w:t>合计金额大写（人民币）</w:t>
            </w:r>
            <w:r>
              <w:rPr>
                <w:rFonts w:hint="eastAsia" w:ascii="宋体" w:hAnsi="宋体" w:cs="宋体"/>
                <w:color w:val="0D0D0D"/>
                <w:sz w:val="24"/>
                <w:szCs w:val="24"/>
                <w:u w:val="single"/>
              </w:rPr>
              <w:t xml:space="preserve">      </w:t>
            </w:r>
            <w:r>
              <w:rPr>
                <w:rFonts w:hint="eastAsia" w:ascii="宋体" w:hAnsi="宋体" w:cs="宋体"/>
                <w:color w:val="0D0D0D"/>
                <w:sz w:val="24"/>
                <w:szCs w:val="24"/>
              </w:rPr>
              <w:t>整。￥</w:t>
            </w:r>
            <w:r>
              <w:rPr>
                <w:rFonts w:hint="eastAsia" w:ascii="宋体" w:hAnsi="宋体" w:cs="宋体"/>
                <w:color w:val="0D0D0D"/>
                <w:sz w:val="24"/>
                <w:szCs w:val="24"/>
                <w:u w:val="single"/>
              </w:rPr>
              <w:t xml:space="preserve">       </w:t>
            </w:r>
            <w:r>
              <w:rPr>
                <w:rFonts w:hint="eastAsia" w:ascii="宋体" w:hAnsi="宋体" w:cs="宋体"/>
                <w:color w:val="0D0D0D"/>
                <w:sz w:val="24"/>
                <w:szCs w:val="24"/>
              </w:rPr>
              <w:t>元</w:t>
            </w:r>
          </w:p>
        </w:tc>
      </w:tr>
    </w:tbl>
    <w:p w14:paraId="75C4DBBA">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三、合同金额</w:t>
      </w:r>
    </w:p>
    <w:p w14:paraId="561290D2">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本项目合同价款</w:t>
      </w:r>
      <w:r>
        <w:rPr>
          <w:rFonts w:hint="eastAsia" w:hAnsi="宋体"/>
          <w:bCs/>
        </w:rPr>
        <w:t>人民币：</w:t>
      </w:r>
      <w:r>
        <w:rPr>
          <w:rFonts w:hint="eastAsia" w:hAnsi="宋体"/>
          <w:bCs/>
          <w:u w:val="single"/>
        </w:rPr>
        <w:t xml:space="preserve">          整。</w:t>
      </w:r>
      <w:r>
        <w:rPr>
          <w:rFonts w:hint="eastAsia" w:hAnsi="宋体"/>
          <w:bCs/>
        </w:rPr>
        <w:t>¥：     元</w:t>
      </w:r>
      <w:r>
        <w:rPr>
          <w:rFonts w:hint="eastAsia" w:hAnsi="宋体"/>
        </w:rPr>
        <w:t>。合同金额包含设备购置费、工程安装费、设备软件开发费、运营维护费等。</w:t>
      </w:r>
    </w:p>
    <w:p w14:paraId="6F281AC5">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b/>
          <w:bCs/>
        </w:rPr>
        <w:t>四、设备质量要求及供货方对质量负责条件和期限：</w:t>
      </w:r>
    </w:p>
    <w:p w14:paraId="09A855B4">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乙方提供的设备必须符合上述货物要求的规格型号、品牌和技术指标。同时乙方保证，采购人在使用本合同项下货物时，不受第三方提出的侵犯其专利权、商标权、著作权或其他知识产权的起诉，否则，乙方应承担甲方应诉的全部费用（包括但不限于律师费、差旅费、文印费等），同时，乙方应按合同价款20%支付违约赔偿金。乙方对设备提供不少于3年整机保修（原厂质保），30日内整机免费换货，3年免费上门服务。（设备另有超过合同规定的按原规定执行）。保修期内非因采购人的人为原因而出现质量问题的，由乙方负责包修、包换或者包退，并承担调换或退货的实际费用。乙方不能修理和不能调换，按违约处理。如因采购人使用不当造成故障，乙方负责包修、包换或者包退，费用双方另行协商。</w:t>
      </w:r>
    </w:p>
    <w:p w14:paraId="107F7D51">
      <w:pPr>
        <w:pStyle w:val="28"/>
        <w:keepNext w:val="0"/>
        <w:keepLines w:val="0"/>
        <w:pageBreakBefore w:val="0"/>
        <w:kinsoku/>
        <w:overflowPunct/>
        <w:topLinePunct w:val="0"/>
        <w:bidi w:val="0"/>
        <w:spacing w:beforeLines="0" w:beforeAutospacing="0" w:after="0" w:afterLines="0" w:afterAutospacing="0" w:line="360" w:lineRule="auto"/>
        <w:ind w:firstLine="480" w:firstLineChars="200"/>
        <w:jc w:val="left"/>
        <w:rPr>
          <w:rFonts w:hAnsi="宋体"/>
        </w:rPr>
      </w:pPr>
      <w:r>
        <w:rPr>
          <w:rFonts w:hint="eastAsia" w:hAnsi="宋体"/>
          <w:b/>
          <w:bCs/>
        </w:rPr>
        <w:t>五、交货预约期：</w:t>
      </w:r>
      <w:r>
        <w:rPr>
          <w:rFonts w:hint="eastAsia" w:hAnsi="宋体"/>
        </w:rPr>
        <w:t>合同签订后   天内。</w:t>
      </w:r>
    </w:p>
    <w:p w14:paraId="21F29EE8">
      <w:pPr>
        <w:keepNext w:val="0"/>
        <w:keepLines w:val="0"/>
        <w:pageBreakBefore w:val="0"/>
        <w:kinsoku/>
        <w:overflowPunct/>
        <w:topLinePunct w:val="0"/>
        <w:bidi w:val="0"/>
        <w:spacing w:beforeAutospacing="0" w:after="0" w:afterAutospacing="0" w:line="360" w:lineRule="auto"/>
        <w:ind w:firstLine="480"/>
        <w:jc w:val="left"/>
        <w:rPr>
          <w:rFonts w:hAnsi="宋体"/>
          <w:sz w:val="24"/>
          <w:szCs w:val="24"/>
        </w:rPr>
      </w:pPr>
      <w:r>
        <w:rPr>
          <w:rFonts w:hint="eastAsia" w:hAnsi="宋体"/>
          <w:sz w:val="24"/>
          <w:szCs w:val="24"/>
        </w:rPr>
        <w:t>采购人根据项目进展情况，需要乙方提前交货的，则应提前半个月通知乙方，乙方必须按采购人要求将货物送达指定地点。</w:t>
      </w:r>
    </w:p>
    <w:p w14:paraId="054BBEEF">
      <w:pPr>
        <w:keepNext w:val="0"/>
        <w:keepLines w:val="0"/>
        <w:pageBreakBefore w:val="0"/>
        <w:kinsoku/>
        <w:overflowPunct/>
        <w:topLinePunct w:val="0"/>
        <w:bidi w:val="0"/>
        <w:spacing w:beforeAutospacing="0" w:after="0" w:afterAutospacing="0" w:line="360" w:lineRule="auto"/>
        <w:ind w:firstLine="480"/>
        <w:jc w:val="left"/>
        <w:rPr>
          <w:rFonts w:hAnsi="宋体"/>
          <w:sz w:val="24"/>
          <w:szCs w:val="24"/>
        </w:rPr>
      </w:pPr>
      <w:r>
        <w:rPr>
          <w:rFonts w:hint="eastAsia"/>
          <w:sz w:val="24"/>
          <w:szCs w:val="24"/>
        </w:rPr>
        <w:t xml:space="preserve">项目竣工及验收时间：本项目应当在2024年  月   日前竣工，并在2024年 月 </w:t>
      </w:r>
      <w:r>
        <w:rPr>
          <w:sz w:val="24"/>
          <w:szCs w:val="24"/>
        </w:rPr>
        <w:t xml:space="preserve"> </w:t>
      </w:r>
      <w:r>
        <w:rPr>
          <w:rFonts w:hint="eastAsia"/>
          <w:sz w:val="24"/>
          <w:szCs w:val="24"/>
        </w:rPr>
        <w:t>日前通过甲方验收。</w:t>
      </w:r>
    </w:p>
    <w:p w14:paraId="1DCBFDB0">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六、安装调试及技术服务：</w:t>
      </w:r>
    </w:p>
    <w:p w14:paraId="255A42F6">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6.1乙方在生产前应向采购人确认合同所定货物的规格型号参数,采购人有权变更上述货物的型号规格,价格变更参考原相同或类似的投标型号。</w:t>
      </w:r>
    </w:p>
    <w:p w14:paraId="0C98BD24">
      <w:pPr>
        <w:pStyle w:val="28"/>
        <w:keepNext w:val="0"/>
        <w:keepLines w:val="0"/>
        <w:pageBreakBefore w:val="0"/>
        <w:kinsoku/>
        <w:overflowPunct/>
        <w:topLinePunct w:val="0"/>
        <w:bidi w:val="0"/>
        <w:spacing w:beforeLines="0" w:beforeAutospacing="0" w:after="0" w:afterLines="0" w:afterAutospacing="0" w:line="360" w:lineRule="auto"/>
        <w:ind w:firstLine="420"/>
        <w:rPr>
          <w:rFonts w:hAnsi="宋体"/>
        </w:rPr>
      </w:pPr>
      <w:r>
        <w:rPr>
          <w:rFonts w:hint="eastAsia" w:hAnsi="宋体"/>
        </w:rPr>
        <w:t>6.2乙方应随设备向使用单位提交产品使用说明书、产品合格证、保修卡及相关的配件和技术资料，以及免费为使用单位培训维修人员。</w:t>
      </w:r>
    </w:p>
    <w:p w14:paraId="201C4AA0">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七、质量保证：</w:t>
      </w:r>
    </w:p>
    <w:p w14:paraId="3D33B057">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u w:val="double"/>
        </w:rPr>
      </w:pPr>
      <w:r>
        <w:rPr>
          <w:rFonts w:hint="eastAsia" w:hAnsi="宋体"/>
        </w:rPr>
        <w:t>7.1乙方送货到采购人指定地点并经验收合格后，才可进行安装。</w:t>
      </w:r>
    </w:p>
    <w:p w14:paraId="4F99C257">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7.2乙方设备安装调试完毕,应在验收合格办理移交手续之日起为买方提供售后质量保证服务。</w:t>
      </w:r>
    </w:p>
    <w:p w14:paraId="41CA6D88">
      <w:pPr>
        <w:keepNext w:val="0"/>
        <w:keepLines w:val="0"/>
        <w:pageBreakBefore w:val="0"/>
        <w:kinsoku/>
        <w:overflowPunct/>
        <w:topLinePunct w:val="0"/>
        <w:bidi w:val="0"/>
        <w:spacing w:beforeAutospacing="0" w:after="0" w:afterAutospacing="0" w:line="360" w:lineRule="auto"/>
        <w:ind w:firstLine="528" w:firstLineChars="220"/>
        <w:rPr>
          <w:rFonts w:ascii="宋体" w:hAnsi="宋体" w:cs="宋体"/>
          <w:sz w:val="24"/>
          <w:szCs w:val="24"/>
        </w:rPr>
      </w:pPr>
      <w:r>
        <w:rPr>
          <w:rFonts w:hint="eastAsia" w:ascii="宋体" w:hAnsi="宋体" w:cs="宋体"/>
          <w:sz w:val="24"/>
          <w:szCs w:val="24"/>
        </w:rPr>
        <w:t>7.3如设备发生故障, 采购人通知乙方,乙方在收到通知后应立即答复,并在4小时内到达甲方指定地点进行维修。</w:t>
      </w:r>
    </w:p>
    <w:p w14:paraId="53CE0991">
      <w:pPr>
        <w:keepNext w:val="0"/>
        <w:keepLines w:val="0"/>
        <w:pageBreakBefore w:val="0"/>
        <w:numPr>
          <w:ilvl w:val="0"/>
          <w:numId w:val="5"/>
        </w:numPr>
        <w:kinsoku/>
        <w:overflowPunct/>
        <w:topLinePunct w:val="0"/>
        <w:bidi w:val="0"/>
        <w:spacing w:beforeAutospacing="0" w:after="0" w:afterAutospacing="0" w:line="360" w:lineRule="auto"/>
        <w:ind w:firstLine="420"/>
        <w:rPr>
          <w:rFonts w:ascii="宋体" w:hAnsi="宋体" w:cs="宋体"/>
          <w:b/>
          <w:bCs/>
          <w:sz w:val="24"/>
          <w:szCs w:val="24"/>
        </w:rPr>
      </w:pPr>
      <w:r>
        <w:rPr>
          <w:rFonts w:hint="eastAsia" w:ascii="宋体" w:hAnsi="宋体" w:cs="宋体"/>
          <w:b/>
          <w:bCs/>
          <w:sz w:val="24"/>
          <w:szCs w:val="24"/>
        </w:rPr>
        <w:t>付款方式：</w:t>
      </w:r>
    </w:p>
    <w:p w14:paraId="740A3DEA">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sz w:val="24"/>
          <w:szCs w:val="24"/>
        </w:rPr>
        <w:t>合同签订后，采购人根据需要中标人提供足额预付款保函（保函可在政采云平台线上申请），7个工作日内采购人付至合同价款的40%</w:t>
      </w:r>
      <w:r>
        <w:rPr>
          <w:rFonts w:hint="eastAsia" w:ascii="宋体" w:hAnsi="宋体" w:cs="宋体"/>
          <w:sz w:val="24"/>
          <w:szCs w:val="24"/>
        </w:rPr>
        <w:t>，项目结束经初步验收合格后</w:t>
      </w:r>
      <w:r>
        <w:rPr>
          <w:rFonts w:hint="eastAsia" w:ascii="宋体" w:hAnsi="宋体"/>
          <w:sz w:val="24"/>
          <w:szCs w:val="24"/>
        </w:rPr>
        <w:t>7个工作日内付至合同价款的95%，余款在</w:t>
      </w:r>
      <w:r>
        <w:rPr>
          <w:rFonts w:hint="eastAsia" w:ascii="宋体" w:hAnsi="宋体" w:cs="宋体"/>
          <w:sz w:val="24"/>
          <w:szCs w:val="24"/>
        </w:rPr>
        <w:t>项目正常运行12个月并终验合格后，</w:t>
      </w:r>
      <w:r>
        <w:rPr>
          <w:rFonts w:hint="eastAsia" w:ascii="宋体" w:hAnsi="宋体"/>
          <w:sz w:val="24"/>
          <w:szCs w:val="24"/>
        </w:rPr>
        <w:t>7个工作日内</w:t>
      </w:r>
      <w:r>
        <w:rPr>
          <w:rFonts w:hint="eastAsia" w:ascii="宋体" w:hAnsi="宋体" w:cs="宋体"/>
          <w:sz w:val="24"/>
          <w:szCs w:val="24"/>
        </w:rPr>
        <w:t>一次性付清。</w:t>
      </w:r>
    </w:p>
    <w:p w14:paraId="4C94F623">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九、验收</w:t>
      </w:r>
    </w:p>
    <w:p w14:paraId="13E11B6C">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9.1验收标准按招标文件要求和乙方提供的设备验收标准、安全技术规范进行验收。</w:t>
      </w:r>
    </w:p>
    <w:p w14:paraId="1D302F3D">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9.2设备安装调试经自检合格后，由采购人、使用单位及相关部门负责验收。</w:t>
      </w:r>
    </w:p>
    <w:p w14:paraId="68A7D7F8">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9.3如不符合验收的相关条款，视为不合格产品。</w:t>
      </w:r>
    </w:p>
    <w:p w14:paraId="1A870D98">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十、履约保证金</w:t>
      </w:r>
    </w:p>
    <w:p w14:paraId="5D0E836D">
      <w:pPr>
        <w:pStyle w:val="28"/>
        <w:keepNext w:val="0"/>
        <w:keepLines w:val="0"/>
        <w:pageBreakBefore w:val="0"/>
        <w:kinsoku/>
        <w:overflowPunct/>
        <w:topLinePunct w:val="0"/>
        <w:bidi w:val="0"/>
        <w:snapToGrid w:val="0"/>
        <w:spacing w:beforeLines="0" w:beforeAutospacing="0" w:after="0" w:afterLines="0" w:afterAutospacing="0" w:line="360" w:lineRule="auto"/>
        <w:ind w:firstLine="480" w:firstLineChars="200"/>
        <w:rPr>
          <w:rFonts w:hAnsi="宋体"/>
          <w:b/>
        </w:rPr>
      </w:pPr>
      <w:r>
        <w:rPr>
          <w:rFonts w:hint="eastAsia" w:hAnsi="宋体"/>
        </w:rPr>
        <w:t>本项目履约保证金为</w:t>
      </w:r>
      <w:r>
        <w:rPr>
          <w:rFonts w:hint="eastAsia" w:hAnsi="宋体"/>
          <w:bCs/>
          <w:u w:val="single"/>
        </w:rPr>
        <w:t xml:space="preserve">       </w:t>
      </w:r>
      <w:r>
        <w:rPr>
          <w:rFonts w:hint="eastAsia" w:hAnsi="宋体"/>
          <w:bCs/>
        </w:rPr>
        <w:t>整（或保函）。¥：    元</w:t>
      </w:r>
      <w:r>
        <w:rPr>
          <w:rFonts w:hint="eastAsia" w:hAnsi="宋体"/>
        </w:rPr>
        <w:t>。签订合同后，乙方应按合同约定将履约保证金入账至</w:t>
      </w:r>
      <w:r>
        <w:rPr>
          <w:rFonts w:hint="eastAsia" w:hAnsi="宋体"/>
          <w:color w:val="000000"/>
        </w:rPr>
        <w:t>采购</w:t>
      </w:r>
      <w:r>
        <w:rPr>
          <w:rFonts w:hint="eastAsia" w:hAnsi="宋体"/>
        </w:rPr>
        <w:t>单位指定账户。在项目完成并经验收之日起无息退还。</w:t>
      </w:r>
    </w:p>
    <w:p w14:paraId="295C8B2B">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b/>
          <w:bCs/>
        </w:rPr>
        <w:t>十一、违约责任：</w:t>
      </w:r>
    </w:p>
    <w:p w14:paraId="2A796C69">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11.1甲方无正当理由延期支付货款超过三个月的，应支付按应付货款每天万分之一计算的延期违约金，但最高不超合同价款的2%。</w:t>
      </w:r>
    </w:p>
    <w:p w14:paraId="735EC4DE">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rPr>
      </w:pPr>
      <w:r>
        <w:rPr>
          <w:rFonts w:hint="eastAsia" w:hAnsi="宋体"/>
        </w:rPr>
        <w:t>11.2乙方所交付的品种、型号、规格、数量、质量不符合合同规定标准的，采购人有权拒绝。采购人将罚没履约保证金，同时追究乙方因此造成的所有损失。</w:t>
      </w:r>
    </w:p>
    <w:p w14:paraId="7567A769">
      <w:pPr>
        <w:pStyle w:val="28"/>
        <w:keepNext w:val="0"/>
        <w:keepLines w:val="0"/>
        <w:pageBreakBefore w:val="0"/>
        <w:kinsoku/>
        <w:overflowPunct/>
        <w:topLinePunct w:val="0"/>
        <w:bidi w:val="0"/>
        <w:spacing w:beforeLines="0" w:beforeAutospacing="0" w:after="0" w:afterLines="0" w:afterAutospacing="0" w:line="360" w:lineRule="auto"/>
        <w:ind w:firstLine="480"/>
        <w:rPr>
          <w:rFonts w:hAnsi="宋体"/>
        </w:rPr>
      </w:pPr>
      <w:r>
        <w:rPr>
          <w:rFonts w:hint="eastAsia" w:hAnsi="宋体"/>
        </w:rPr>
        <w:t>11.3乙方未能及时交货或其他非采购人原因引起验收交付延迟的，由乙方支付每天伍仟元的违约金，按天累计，直至货到日为止。</w:t>
      </w:r>
    </w:p>
    <w:p w14:paraId="6CB4BC7C">
      <w:pPr>
        <w:keepNext w:val="0"/>
        <w:keepLines w:val="0"/>
        <w:pageBreakBefore w:val="0"/>
        <w:kinsoku/>
        <w:overflowPunct/>
        <w:topLinePunct w:val="0"/>
        <w:bidi w:val="0"/>
        <w:spacing w:beforeAutospacing="0" w:after="0" w:afterAutospacing="0" w:line="360" w:lineRule="auto"/>
        <w:ind w:firstLine="480"/>
        <w:rPr>
          <w:rFonts w:ascii="宋体" w:hAnsi="宋体" w:cs="宋体"/>
          <w:sz w:val="24"/>
          <w:szCs w:val="24"/>
        </w:rPr>
      </w:pPr>
      <w:r>
        <w:rPr>
          <w:rFonts w:hint="eastAsia" w:ascii="宋体" w:hAnsi="宋体" w:cs="宋体"/>
          <w:sz w:val="24"/>
          <w:szCs w:val="24"/>
        </w:rPr>
        <w:t>11.4 如因乙方原因导致本项目逾期竣工的，乙方应按照每日伍千元的标准支付违约金，直至验收合格之日止。</w:t>
      </w:r>
    </w:p>
    <w:p w14:paraId="411F3492">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十二、甲乙双方的任何一方由于不可抗力的原因不能履行合同，应及时向对方通报不能履行或不能完全履行的理由，并在取得有关部门的证明后，可以全部或部分免除对方责任。</w:t>
      </w:r>
    </w:p>
    <w:p w14:paraId="031EF0A0">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十三、因设备的质量问题发生争议，由东阳市质量技术监督部门或其指定的技术单位进行质量鉴定，该鉴定结论是终局的。</w:t>
      </w:r>
    </w:p>
    <w:p w14:paraId="4B79D1EC">
      <w:pPr>
        <w:pStyle w:val="28"/>
        <w:keepNext w:val="0"/>
        <w:keepLines w:val="0"/>
        <w:pageBreakBefore w:val="0"/>
        <w:kinsoku/>
        <w:overflowPunct/>
        <w:topLinePunct w:val="0"/>
        <w:bidi w:val="0"/>
        <w:spacing w:beforeLines="0" w:beforeAutospacing="0" w:after="0" w:afterLines="0" w:afterAutospacing="0" w:line="360" w:lineRule="auto"/>
        <w:ind w:firstLine="480" w:firstLineChars="200"/>
        <w:rPr>
          <w:rFonts w:hAnsi="宋体"/>
          <w:b/>
          <w:bCs/>
        </w:rPr>
      </w:pPr>
      <w:r>
        <w:rPr>
          <w:rFonts w:hint="eastAsia" w:hAnsi="宋体"/>
          <w:b/>
          <w:bCs/>
        </w:rPr>
        <w:t>十四、本合同发生争议，双方协商解决，协商不成，双方均可向东阳市人民法院提起诉讼。</w:t>
      </w:r>
    </w:p>
    <w:p w14:paraId="0842ED28">
      <w:pPr>
        <w:pStyle w:val="28"/>
        <w:keepNext w:val="0"/>
        <w:keepLines w:val="0"/>
        <w:pageBreakBefore w:val="0"/>
        <w:kinsoku/>
        <w:overflowPunct/>
        <w:topLinePunct w:val="0"/>
        <w:bidi w:val="0"/>
        <w:snapToGrid w:val="0"/>
        <w:spacing w:beforeLines="0" w:beforeAutospacing="0" w:after="0" w:afterLines="0" w:afterAutospacing="0" w:line="360" w:lineRule="auto"/>
        <w:ind w:firstLine="480" w:firstLineChars="200"/>
        <w:rPr>
          <w:rFonts w:hAnsi="宋体"/>
          <w:b/>
          <w:bCs/>
          <w:color w:val="000000"/>
        </w:rPr>
      </w:pPr>
      <w:r>
        <w:rPr>
          <w:rFonts w:hint="eastAsia" w:hAnsi="宋体"/>
          <w:b/>
          <w:bCs/>
          <w:color w:val="000000"/>
        </w:rPr>
        <w:t>十五、合同生效</w:t>
      </w:r>
    </w:p>
    <w:p w14:paraId="704D3C76">
      <w:pPr>
        <w:pStyle w:val="28"/>
        <w:keepNext w:val="0"/>
        <w:keepLines w:val="0"/>
        <w:pageBreakBefore w:val="0"/>
        <w:kinsoku/>
        <w:overflowPunct/>
        <w:topLinePunct w:val="0"/>
        <w:bidi w:val="0"/>
        <w:snapToGrid w:val="0"/>
        <w:spacing w:beforeLines="0" w:beforeAutospacing="0" w:after="0" w:afterLines="0" w:afterAutospacing="0" w:line="360" w:lineRule="auto"/>
        <w:ind w:firstLine="480" w:firstLineChars="200"/>
        <w:rPr>
          <w:rFonts w:hAnsi="宋体"/>
          <w:color w:val="000000"/>
        </w:rPr>
      </w:pPr>
      <w:r>
        <w:rPr>
          <w:rFonts w:hint="eastAsia" w:hAnsi="宋体"/>
          <w:color w:val="000000"/>
        </w:rPr>
        <w:t>1.合同经双方法定代表人或授权代表签字并加盖单位公章</w:t>
      </w:r>
      <w:r>
        <w:rPr>
          <w:rFonts w:hint="eastAsia" w:hAnsi="宋体"/>
        </w:rPr>
        <w:t>后，报经东阳市采购办备案生效</w:t>
      </w:r>
      <w:r>
        <w:rPr>
          <w:rFonts w:hint="eastAsia" w:hAnsi="宋体"/>
          <w:color w:val="000000"/>
        </w:rPr>
        <w:t>。</w:t>
      </w:r>
    </w:p>
    <w:p w14:paraId="3919A98B">
      <w:pPr>
        <w:pStyle w:val="28"/>
        <w:keepNext w:val="0"/>
        <w:keepLines w:val="0"/>
        <w:pageBreakBefore w:val="0"/>
        <w:kinsoku/>
        <w:overflowPunct/>
        <w:topLinePunct w:val="0"/>
        <w:bidi w:val="0"/>
        <w:snapToGrid w:val="0"/>
        <w:spacing w:beforeLines="0" w:beforeAutospacing="0" w:after="0" w:afterLines="0" w:afterAutospacing="0" w:line="360" w:lineRule="auto"/>
        <w:ind w:firstLine="480" w:firstLineChars="200"/>
        <w:rPr>
          <w:rFonts w:hAnsi="宋体"/>
          <w:color w:val="000000"/>
        </w:rPr>
      </w:pPr>
      <w:r>
        <w:rPr>
          <w:rFonts w:hint="eastAsia" w:hAnsi="宋体"/>
          <w:color w:val="000000"/>
        </w:rPr>
        <w:t>2.合同执行中涉及采购资金和采购内容修改或补充的，须经财政部门审批，并签书面补充协议报政府采购监督管理部门备案，方可作为主合同不可分割的一部分。</w:t>
      </w:r>
    </w:p>
    <w:p w14:paraId="17C3611C">
      <w:pPr>
        <w:pStyle w:val="28"/>
        <w:keepNext w:val="0"/>
        <w:keepLines w:val="0"/>
        <w:pageBreakBefore w:val="0"/>
        <w:kinsoku/>
        <w:overflowPunct/>
        <w:topLinePunct w:val="0"/>
        <w:bidi w:val="0"/>
        <w:snapToGrid w:val="0"/>
        <w:spacing w:beforeLines="0" w:beforeAutospacing="0" w:after="0" w:afterLines="0" w:afterAutospacing="0" w:line="360" w:lineRule="auto"/>
        <w:ind w:firstLine="480" w:firstLineChars="200"/>
        <w:rPr>
          <w:rFonts w:hAnsi="宋体"/>
          <w:color w:val="000000"/>
        </w:rPr>
      </w:pPr>
      <w:r>
        <w:rPr>
          <w:rFonts w:hint="eastAsia" w:hAnsi="宋体"/>
          <w:color w:val="000000"/>
        </w:rPr>
        <w:t>3.本合同未尽事宜，</w:t>
      </w:r>
      <w:r>
        <w:rPr>
          <w:rFonts w:hint="eastAsia" w:hAnsi="宋体"/>
        </w:rPr>
        <w:t>遵照《中华人民共和国民法典》有关</w:t>
      </w:r>
      <w:r>
        <w:rPr>
          <w:rFonts w:hint="eastAsia" w:hAnsi="宋体"/>
          <w:color w:val="000000"/>
        </w:rPr>
        <w:t>条文执行。</w:t>
      </w:r>
    </w:p>
    <w:p w14:paraId="5228037F">
      <w:pPr>
        <w:pStyle w:val="28"/>
        <w:keepNext w:val="0"/>
        <w:keepLines w:val="0"/>
        <w:pageBreakBefore w:val="0"/>
        <w:kinsoku/>
        <w:overflowPunct/>
        <w:topLinePunct w:val="0"/>
        <w:bidi w:val="0"/>
        <w:snapToGrid w:val="0"/>
        <w:spacing w:beforeLines="0" w:beforeAutospacing="0" w:after="0" w:afterLines="0" w:afterAutospacing="0" w:line="360" w:lineRule="auto"/>
        <w:ind w:firstLine="480" w:firstLineChars="200"/>
        <w:rPr>
          <w:rFonts w:hAnsi="宋体"/>
          <w:color w:val="000000"/>
        </w:rPr>
      </w:pPr>
      <w:r>
        <w:rPr>
          <w:rFonts w:hint="eastAsia" w:hAnsi="宋体"/>
          <w:color w:val="000000"/>
        </w:rPr>
        <w:t>4.本合同正本一式六份，具有同等法律效力，甲乙双方各执二份；采购代理机构存档一份，政府采购管理部门备案一份。</w:t>
      </w:r>
    </w:p>
    <w:p w14:paraId="2294CB32">
      <w:pPr>
        <w:keepNext w:val="0"/>
        <w:keepLines w:val="0"/>
        <w:pageBreakBefore w:val="0"/>
        <w:kinsoku/>
        <w:overflowPunct/>
        <w:topLinePunct w:val="0"/>
        <w:bidi w:val="0"/>
        <w:spacing w:beforeAutospacing="0" w:after="0" w:afterAutospacing="0" w:line="360" w:lineRule="auto"/>
        <w:rPr>
          <w:rFonts w:ascii="宋体" w:hAnsi="宋体" w:cs="宋体"/>
          <w:b/>
          <w:sz w:val="24"/>
          <w:szCs w:val="24"/>
        </w:rPr>
      </w:pPr>
    </w:p>
    <w:p w14:paraId="0C39985B">
      <w:pPr>
        <w:keepNext w:val="0"/>
        <w:keepLines w:val="0"/>
        <w:pageBreakBefore w:val="0"/>
        <w:kinsoku/>
        <w:overflowPunct/>
        <w:topLinePunct w:val="0"/>
        <w:bidi w:val="0"/>
        <w:spacing w:beforeAutospacing="0" w:after="0" w:afterAutospacing="0" w:line="360" w:lineRule="auto"/>
        <w:rPr>
          <w:rFonts w:ascii="宋体" w:hAnsi="宋体" w:cs="宋体"/>
          <w:b/>
          <w:sz w:val="24"/>
          <w:szCs w:val="24"/>
        </w:rPr>
      </w:pPr>
      <w:r>
        <w:rPr>
          <w:rFonts w:hint="eastAsia" w:ascii="宋体" w:hAnsi="宋体" w:cs="宋体"/>
          <w:b/>
          <w:sz w:val="24"/>
          <w:szCs w:val="24"/>
        </w:rPr>
        <w:t>采购单位（甲方盖章）：                供货单位（乙方盖章）：</w:t>
      </w:r>
    </w:p>
    <w:p w14:paraId="0B2A4F86">
      <w:pPr>
        <w:keepNext w:val="0"/>
        <w:keepLines w:val="0"/>
        <w:pageBreakBefore w:val="0"/>
        <w:kinsoku/>
        <w:overflowPunct/>
        <w:topLinePunct w:val="0"/>
        <w:bidi w:val="0"/>
        <w:spacing w:beforeAutospacing="0" w:after="0" w:afterAutospacing="0" w:line="360" w:lineRule="auto"/>
        <w:rPr>
          <w:rFonts w:ascii="宋体" w:hAnsi="宋体" w:cs="宋体"/>
          <w:sz w:val="24"/>
          <w:szCs w:val="24"/>
        </w:rPr>
      </w:pPr>
      <w:r>
        <w:rPr>
          <w:rFonts w:hint="eastAsia" w:ascii="宋体" w:hAnsi="宋体" w:cs="宋体"/>
          <w:sz w:val="24"/>
          <w:szCs w:val="24"/>
        </w:rPr>
        <w:t>法定代表人或受委托人                  法定代表人或受委托人</w:t>
      </w:r>
    </w:p>
    <w:p w14:paraId="13A56C09">
      <w:pPr>
        <w:keepNext w:val="0"/>
        <w:keepLines w:val="0"/>
        <w:pageBreakBefore w:val="0"/>
        <w:kinsoku/>
        <w:overflowPunct/>
        <w:topLinePunct w:val="0"/>
        <w:bidi w:val="0"/>
        <w:spacing w:beforeAutospacing="0" w:after="0" w:afterAutospacing="0" w:line="360" w:lineRule="auto"/>
        <w:rPr>
          <w:rFonts w:ascii="宋体" w:hAnsi="宋体" w:cs="宋体"/>
          <w:sz w:val="24"/>
          <w:szCs w:val="24"/>
        </w:rPr>
      </w:pPr>
      <w:r>
        <w:rPr>
          <w:rFonts w:hint="eastAsia" w:ascii="宋体" w:hAnsi="宋体" w:cs="宋体"/>
          <w:sz w:val="24"/>
          <w:szCs w:val="24"/>
        </w:rPr>
        <w:t>（签字）                             （签字）</w:t>
      </w:r>
    </w:p>
    <w:p w14:paraId="7523CF54">
      <w:pPr>
        <w:keepNext w:val="0"/>
        <w:keepLines w:val="0"/>
        <w:pageBreakBefore w:val="0"/>
        <w:kinsoku/>
        <w:overflowPunct/>
        <w:topLinePunct w:val="0"/>
        <w:bidi w:val="0"/>
        <w:spacing w:beforeAutospacing="0" w:after="0" w:afterAutospacing="0" w:line="360" w:lineRule="auto"/>
        <w:rPr>
          <w:rFonts w:ascii="宋体" w:hAnsi="宋体" w:cs="宋体"/>
          <w:sz w:val="24"/>
          <w:szCs w:val="24"/>
        </w:rPr>
      </w:pPr>
      <w:r>
        <w:rPr>
          <w:rFonts w:hint="eastAsia" w:ascii="宋体" w:hAnsi="宋体" w:cs="宋体"/>
          <w:sz w:val="24"/>
          <w:szCs w:val="24"/>
        </w:rPr>
        <w:t>地址：东阳市                          地址：</w:t>
      </w:r>
    </w:p>
    <w:p w14:paraId="370C4266">
      <w:pPr>
        <w:keepNext w:val="0"/>
        <w:keepLines w:val="0"/>
        <w:pageBreakBefore w:val="0"/>
        <w:kinsoku/>
        <w:overflowPunct/>
        <w:topLinePunct w:val="0"/>
        <w:bidi w:val="0"/>
        <w:spacing w:beforeAutospacing="0" w:after="0" w:afterAutospacing="0" w:line="360" w:lineRule="auto"/>
        <w:rPr>
          <w:rFonts w:ascii="宋体" w:hAnsi="宋体" w:cs="宋体"/>
          <w:sz w:val="24"/>
          <w:szCs w:val="24"/>
        </w:rPr>
      </w:pPr>
      <w:r>
        <w:rPr>
          <w:rFonts w:hint="eastAsia" w:ascii="宋体" w:hAnsi="宋体" w:cs="宋体"/>
          <w:sz w:val="24"/>
          <w:szCs w:val="24"/>
        </w:rPr>
        <w:t>开户银行：                            开户银行：</w:t>
      </w:r>
    </w:p>
    <w:p w14:paraId="6B790C0D">
      <w:pPr>
        <w:keepNext w:val="0"/>
        <w:keepLines w:val="0"/>
        <w:pageBreakBefore w:val="0"/>
        <w:kinsoku/>
        <w:overflowPunct/>
        <w:topLinePunct w:val="0"/>
        <w:bidi w:val="0"/>
        <w:spacing w:beforeAutospacing="0" w:after="0" w:afterAutospacing="0" w:line="360" w:lineRule="auto"/>
        <w:rPr>
          <w:rFonts w:ascii="宋体" w:hAnsi="宋体" w:cs="宋体"/>
          <w:b/>
          <w:sz w:val="24"/>
          <w:szCs w:val="24"/>
        </w:rPr>
      </w:pPr>
      <w:r>
        <w:rPr>
          <w:rFonts w:hint="eastAsia" w:ascii="宋体" w:hAnsi="宋体" w:cs="宋体"/>
          <w:sz w:val="24"/>
          <w:szCs w:val="24"/>
        </w:rPr>
        <w:t>帐号：                                帐号：</w:t>
      </w:r>
    </w:p>
    <w:p w14:paraId="5B5372CD">
      <w:pPr>
        <w:keepNext w:val="0"/>
        <w:keepLines w:val="0"/>
        <w:pageBreakBefore w:val="0"/>
        <w:kinsoku/>
        <w:overflowPunct/>
        <w:topLinePunct w:val="0"/>
        <w:bidi w:val="0"/>
        <w:spacing w:beforeAutospacing="0" w:after="0" w:afterAutospacing="0" w:line="360" w:lineRule="auto"/>
        <w:rPr>
          <w:rFonts w:ascii="宋体" w:hAnsi="宋体" w:cs="宋体"/>
          <w:b/>
          <w:sz w:val="24"/>
          <w:szCs w:val="24"/>
        </w:rPr>
      </w:pPr>
      <w:r>
        <w:rPr>
          <w:rFonts w:hint="eastAsia" w:ascii="宋体" w:hAnsi="宋体" w:cs="宋体"/>
          <w:b/>
          <w:sz w:val="24"/>
          <w:szCs w:val="24"/>
        </w:rPr>
        <w:t xml:space="preserve">招标代理机构（盖章）：                             </w:t>
      </w:r>
    </w:p>
    <w:p w14:paraId="4BAF09AC">
      <w:pPr>
        <w:keepNext w:val="0"/>
        <w:keepLines w:val="0"/>
        <w:pageBreakBefore w:val="0"/>
        <w:kinsoku/>
        <w:overflowPunct/>
        <w:topLinePunct w:val="0"/>
        <w:bidi w:val="0"/>
        <w:spacing w:beforeAutospacing="0" w:after="0" w:afterAutospacing="0" w:line="360" w:lineRule="auto"/>
        <w:rPr>
          <w:rFonts w:ascii="宋体" w:hAnsi="宋体" w:cs="宋体"/>
          <w:sz w:val="24"/>
          <w:szCs w:val="24"/>
        </w:rPr>
      </w:pPr>
      <w:r>
        <w:rPr>
          <w:rFonts w:hint="eastAsia" w:ascii="宋体" w:hAnsi="宋体" w:cs="宋体"/>
          <w:sz w:val="24"/>
          <w:szCs w:val="24"/>
        </w:rPr>
        <w:t xml:space="preserve">法定代表人或受委托人                              </w:t>
      </w:r>
    </w:p>
    <w:p w14:paraId="4FAF7B54">
      <w:pPr>
        <w:keepNext w:val="0"/>
        <w:keepLines w:val="0"/>
        <w:pageBreakBefore w:val="0"/>
        <w:kinsoku/>
        <w:overflowPunct/>
        <w:topLinePunct w:val="0"/>
        <w:bidi w:val="0"/>
        <w:spacing w:beforeAutospacing="0" w:after="0" w:afterAutospacing="0" w:line="360" w:lineRule="auto"/>
        <w:rPr>
          <w:rFonts w:ascii="宋体" w:hAnsi="宋体" w:cs="宋体"/>
          <w:sz w:val="24"/>
          <w:szCs w:val="24"/>
        </w:rPr>
      </w:pPr>
      <w:r>
        <w:rPr>
          <w:rFonts w:hint="eastAsia" w:ascii="宋体" w:hAnsi="宋体" w:cs="宋体"/>
          <w:sz w:val="24"/>
          <w:szCs w:val="24"/>
        </w:rPr>
        <w:t xml:space="preserve">（签字）                                               </w:t>
      </w:r>
    </w:p>
    <w:p w14:paraId="5D10BA38">
      <w:pPr>
        <w:pStyle w:val="28"/>
        <w:keepNext w:val="0"/>
        <w:keepLines w:val="0"/>
        <w:pageBreakBefore w:val="0"/>
        <w:kinsoku/>
        <w:overflowPunct/>
        <w:topLinePunct w:val="0"/>
        <w:bidi w:val="0"/>
        <w:snapToGrid w:val="0"/>
        <w:spacing w:beforeLines="0" w:beforeAutospacing="0" w:after="0" w:afterLines="0" w:afterAutospacing="0" w:line="360" w:lineRule="auto"/>
        <w:rPr>
          <w:rFonts w:hAnsi="宋体"/>
        </w:rPr>
      </w:pPr>
    </w:p>
    <w:p w14:paraId="13AEB648">
      <w:pPr>
        <w:pStyle w:val="28"/>
        <w:keepNext w:val="0"/>
        <w:keepLines w:val="0"/>
        <w:pageBreakBefore w:val="0"/>
        <w:kinsoku/>
        <w:overflowPunct/>
        <w:topLinePunct w:val="0"/>
        <w:bidi w:val="0"/>
        <w:snapToGrid w:val="0"/>
        <w:spacing w:beforeLines="0" w:beforeAutospacing="0" w:after="0" w:afterLines="0" w:afterAutospacing="0" w:line="360" w:lineRule="auto"/>
        <w:rPr>
          <w:rFonts w:ascii="黑体" w:hAnsi="黑体"/>
          <w:b/>
          <w:bCs/>
          <w:color w:val="0D0D0D"/>
          <w:sz w:val="32"/>
          <w:szCs w:val="32"/>
        </w:rPr>
      </w:pPr>
      <w:r>
        <w:rPr>
          <w:rFonts w:hint="eastAsia" w:hAnsi="宋体"/>
        </w:rPr>
        <w:t>签约地点：东阳                         签约时间：</w:t>
      </w:r>
    </w:p>
    <w:p w14:paraId="78694802">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30A7F628">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7D95D312">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475DD5A8">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74BA4AAB">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3D87D958">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1DEAF4CD">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37BF5CDD">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4964BDAE">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28D04469">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62CD452C">
      <w:pPr>
        <w:keepNext w:val="0"/>
        <w:keepLines w:val="0"/>
        <w:pageBreakBefore w:val="0"/>
        <w:kinsoku/>
        <w:overflowPunct/>
        <w:topLinePunct w:val="0"/>
        <w:bidi w:val="0"/>
        <w:spacing w:beforeAutospacing="0" w:after="0" w:afterAutospacing="0" w:line="360" w:lineRule="auto"/>
        <w:jc w:val="center"/>
        <w:outlineLvl w:val="0"/>
        <w:rPr>
          <w:rFonts w:ascii="黑体" w:hAnsi="宋体" w:eastAsia="黑体" w:cs="黑体"/>
          <w:b/>
          <w:bCs/>
          <w:color w:val="0D0D0D"/>
          <w:sz w:val="32"/>
          <w:szCs w:val="32"/>
        </w:rPr>
      </w:pPr>
    </w:p>
    <w:p w14:paraId="4173CA9E">
      <w:pPr>
        <w:keepNext w:val="0"/>
        <w:keepLines w:val="0"/>
        <w:pageBreakBefore w:val="0"/>
        <w:kinsoku/>
        <w:overflowPunct/>
        <w:topLinePunct w:val="0"/>
        <w:bidi w:val="0"/>
        <w:spacing w:beforeAutospacing="0" w:after="0" w:afterAutospacing="0"/>
        <w:jc w:val="center"/>
        <w:rPr>
          <w:sz w:val="32"/>
          <w:szCs w:val="32"/>
        </w:rPr>
      </w:pPr>
      <w:r>
        <w:rPr>
          <w:rFonts w:hint="eastAsia" w:ascii="黑体" w:hAnsi="宋体" w:eastAsia="黑体" w:cs="黑体"/>
          <w:b/>
          <w:bCs/>
          <w:color w:val="0D0D0D"/>
          <w:sz w:val="32"/>
          <w:szCs w:val="32"/>
        </w:rPr>
        <w:t>第六章   投标文件格式</w:t>
      </w:r>
    </w:p>
    <w:p w14:paraId="7922B67C">
      <w:pPr>
        <w:keepNext w:val="0"/>
        <w:keepLines w:val="0"/>
        <w:pageBreakBefore w:val="0"/>
        <w:kinsoku/>
        <w:overflowPunct/>
        <w:topLinePunct w:val="0"/>
        <w:bidi w:val="0"/>
        <w:snapToGrid w:val="0"/>
        <w:spacing w:beforeAutospacing="0" w:after="0" w:afterAutospacing="0" w:line="360" w:lineRule="auto"/>
        <w:outlineLvl w:val="1"/>
        <w:rPr>
          <w:rFonts w:ascii="宋体"/>
          <w:b/>
          <w:bCs/>
          <w:color w:val="0D0D0D"/>
          <w:sz w:val="24"/>
          <w:szCs w:val="24"/>
        </w:rPr>
      </w:pPr>
      <w:r>
        <w:rPr>
          <w:rFonts w:ascii="宋体" w:hAnsi="宋体" w:cs="宋体"/>
          <w:b/>
          <w:bCs/>
          <w:color w:val="0D0D0D"/>
          <w:sz w:val="24"/>
          <w:szCs w:val="24"/>
        </w:rPr>
        <w:t>1</w:t>
      </w:r>
      <w:r>
        <w:rPr>
          <w:rFonts w:ascii="宋体" w:cs="宋体"/>
          <w:b/>
          <w:bCs/>
          <w:color w:val="0D0D0D"/>
          <w:sz w:val="24"/>
          <w:szCs w:val="24"/>
        </w:rPr>
        <w:t>.</w:t>
      </w:r>
      <w:r>
        <w:rPr>
          <w:rFonts w:hint="eastAsia" w:ascii="宋体" w:hAnsi="宋体" w:cs="宋体"/>
          <w:b/>
          <w:bCs/>
          <w:color w:val="0D0D0D"/>
          <w:sz w:val="24"/>
          <w:szCs w:val="24"/>
        </w:rPr>
        <w:t>所有投标文件封面格式：</w:t>
      </w:r>
    </w:p>
    <w:p w14:paraId="3897EBA8">
      <w:pPr>
        <w:keepNext w:val="0"/>
        <w:keepLines w:val="0"/>
        <w:pageBreakBefore w:val="0"/>
        <w:kinsoku/>
        <w:overflowPunct/>
        <w:topLinePunct w:val="0"/>
        <w:bidi w:val="0"/>
        <w:snapToGrid w:val="0"/>
        <w:spacing w:beforeAutospacing="0" w:after="0" w:afterAutospacing="0" w:line="360" w:lineRule="auto"/>
        <w:ind w:firstLine="5736" w:firstLineChars="2390"/>
        <w:rPr>
          <w:rFonts w:ascii="宋体"/>
          <w:b/>
          <w:bCs/>
          <w:color w:val="0D0D0D"/>
          <w:sz w:val="24"/>
          <w:szCs w:val="24"/>
        </w:rPr>
      </w:pPr>
      <w:r>
        <w:rPr>
          <w:rFonts w:hint="eastAsia" w:ascii="宋体" w:hAnsi="宋体" w:cs="宋体"/>
          <w:b/>
          <w:bCs/>
          <w:color w:val="0D0D0D"/>
          <w:sz w:val="24"/>
          <w:szCs w:val="24"/>
        </w:rPr>
        <w:t>正本</w:t>
      </w:r>
      <w:r>
        <w:rPr>
          <w:rFonts w:ascii="宋体" w:hAnsi="宋体" w:cs="宋体"/>
          <w:b/>
          <w:bCs/>
          <w:color w:val="0D0D0D"/>
          <w:sz w:val="24"/>
          <w:szCs w:val="24"/>
        </w:rPr>
        <w:t>/</w:t>
      </w:r>
      <w:r>
        <w:rPr>
          <w:rFonts w:hint="eastAsia" w:ascii="宋体" w:hAnsi="宋体" w:cs="宋体"/>
          <w:b/>
          <w:bCs/>
          <w:color w:val="0D0D0D"/>
          <w:sz w:val="24"/>
          <w:szCs w:val="24"/>
        </w:rPr>
        <w:t>或副本</w:t>
      </w:r>
    </w:p>
    <w:p w14:paraId="73794A86">
      <w:pPr>
        <w:keepNext w:val="0"/>
        <w:keepLines w:val="0"/>
        <w:pageBreakBefore w:val="0"/>
        <w:kinsoku/>
        <w:overflowPunct/>
        <w:topLinePunct w:val="0"/>
        <w:bidi w:val="0"/>
        <w:snapToGrid w:val="0"/>
        <w:spacing w:beforeAutospacing="0" w:after="0" w:afterAutospacing="0" w:line="360" w:lineRule="auto"/>
        <w:jc w:val="center"/>
        <w:rPr>
          <w:rFonts w:ascii="宋体"/>
          <w:color w:val="0D0D0D"/>
          <w:sz w:val="24"/>
          <w:szCs w:val="24"/>
        </w:rPr>
      </w:pPr>
      <w:r>
        <w:rPr>
          <w:rFonts w:hint="eastAsia" w:ascii="宋体" w:hAnsi="宋体" w:cs="宋体"/>
          <w:color w:val="0D0D0D"/>
          <w:sz w:val="24"/>
          <w:szCs w:val="24"/>
        </w:rPr>
        <w:t>资信商务及技术、报价文件、资格审查资料</w:t>
      </w:r>
    </w:p>
    <w:p w14:paraId="331200DE">
      <w:pPr>
        <w:keepNext w:val="0"/>
        <w:keepLines w:val="0"/>
        <w:pageBreakBefore w:val="0"/>
        <w:kinsoku/>
        <w:overflowPunct/>
        <w:topLinePunct w:val="0"/>
        <w:bidi w:val="0"/>
        <w:spacing w:beforeAutospacing="0" w:after="0" w:afterAutospacing="0" w:line="360" w:lineRule="auto"/>
        <w:rPr>
          <w:rFonts w:ascii="宋体"/>
          <w:color w:val="0D0D0D"/>
          <w:sz w:val="24"/>
          <w:szCs w:val="24"/>
        </w:rPr>
      </w:pPr>
      <w:r>
        <w:rPr>
          <w:rFonts w:hint="eastAsia" w:ascii="宋体" w:hAnsi="宋体" w:cs="宋体"/>
          <w:color w:val="0D0D0D"/>
          <w:sz w:val="24"/>
          <w:szCs w:val="24"/>
        </w:rPr>
        <w:t>项目名称：</w:t>
      </w:r>
      <w:r>
        <w:rPr>
          <w:rFonts w:hint="eastAsia" w:ascii="宋体" w:hAnsi="宋体" w:cs="宋体"/>
          <w:color w:val="000000"/>
          <w:sz w:val="24"/>
          <w:szCs w:val="24"/>
          <w:u w:val="single"/>
        </w:rPr>
        <w:t>东阳剧院舞台灯光系统建设更新项目</w:t>
      </w:r>
    </w:p>
    <w:p w14:paraId="66CEEF5D">
      <w:pPr>
        <w:keepNext w:val="0"/>
        <w:keepLines w:val="0"/>
        <w:pageBreakBefore w:val="0"/>
        <w:kinsoku/>
        <w:overflowPunct/>
        <w:topLinePunct w:val="0"/>
        <w:bidi w:val="0"/>
        <w:snapToGrid w:val="0"/>
        <w:spacing w:beforeAutospacing="0" w:after="0" w:afterAutospacing="0" w:line="360" w:lineRule="auto"/>
        <w:rPr>
          <w:rFonts w:ascii="宋体" w:hAnsi="宋体" w:cs="宋体"/>
          <w:color w:val="0D0D0D"/>
          <w:sz w:val="24"/>
          <w:szCs w:val="24"/>
        </w:rPr>
      </w:pPr>
      <w:r>
        <w:rPr>
          <w:rFonts w:hint="eastAsia" w:ascii="宋体" w:hAnsi="宋体" w:cs="宋体"/>
          <w:color w:val="0D0D0D"/>
          <w:sz w:val="24"/>
          <w:szCs w:val="24"/>
        </w:rPr>
        <w:t>项目编号：JCZFCG2024-Z37-A347</w:t>
      </w:r>
    </w:p>
    <w:p w14:paraId="49A9F2CD">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投标人名称：</w:t>
      </w:r>
    </w:p>
    <w:p w14:paraId="02F90768">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投标人地址：</w:t>
      </w:r>
    </w:p>
    <w:p w14:paraId="16AA0829">
      <w:pPr>
        <w:keepNext w:val="0"/>
        <w:keepLines w:val="0"/>
        <w:pageBreakBefore w:val="0"/>
        <w:kinsoku/>
        <w:overflowPunct/>
        <w:topLinePunct w:val="0"/>
        <w:bidi w:val="0"/>
        <w:snapToGrid w:val="0"/>
        <w:spacing w:beforeAutospacing="0" w:after="0" w:afterAutospacing="0" w:line="360" w:lineRule="auto"/>
        <w:ind w:firstLine="645"/>
        <w:jc w:val="center"/>
        <w:rPr>
          <w:rFonts w:ascii="宋体"/>
          <w:color w:val="0D0D0D"/>
          <w:sz w:val="24"/>
          <w:szCs w:val="24"/>
        </w:rPr>
      </w:pPr>
      <w:r>
        <w:rPr>
          <w:rFonts w:hint="eastAsia" w:ascii="宋体" w:hAnsi="宋体" w:cs="宋体"/>
          <w:color w:val="0D0D0D"/>
          <w:sz w:val="24"/>
          <w:szCs w:val="24"/>
        </w:rPr>
        <w:t>年月日</w:t>
      </w:r>
    </w:p>
    <w:p w14:paraId="27B089C5">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b/>
          <w:bCs/>
          <w:color w:val="0D0D0D"/>
          <w:sz w:val="24"/>
          <w:szCs w:val="24"/>
        </w:rPr>
      </w:pPr>
    </w:p>
    <w:p w14:paraId="01EEF171">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b/>
          <w:bCs/>
          <w:color w:val="0D0D0D"/>
          <w:sz w:val="24"/>
          <w:szCs w:val="24"/>
        </w:rPr>
      </w:pPr>
    </w:p>
    <w:p w14:paraId="16E4DFB1">
      <w:pPr>
        <w:keepNext w:val="0"/>
        <w:keepLines w:val="0"/>
        <w:pageBreakBefore w:val="0"/>
        <w:kinsoku/>
        <w:overflowPunct/>
        <w:topLinePunct w:val="0"/>
        <w:bidi w:val="0"/>
        <w:snapToGrid w:val="0"/>
        <w:spacing w:beforeAutospacing="0" w:after="0" w:afterAutospacing="0" w:line="360" w:lineRule="auto"/>
        <w:jc w:val="left"/>
        <w:rPr>
          <w:rFonts w:ascii="宋体"/>
          <w:b/>
          <w:bCs/>
          <w:color w:val="0D0D0D"/>
          <w:sz w:val="24"/>
          <w:szCs w:val="24"/>
        </w:rPr>
      </w:pPr>
    </w:p>
    <w:p w14:paraId="7B9ADC04">
      <w:pPr>
        <w:keepNext w:val="0"/>
        <w:keepLines w:val="0"/>
        <w:pageBreakBefore w:val="0"/>
        <w:kinsoku/>
        <w:overflowPunct/>
        <w:topLinePunct w:val="0"/>
        <w:bidi w:val="0"/>
        <w:snapToGrid w:val="0"/>
        <w:spacing w:beforeAutospacing="0" w:after="0" w:afterAutospacing="0" w:line="360" w:lineRule="auto"/>
        <w:jc w:val="left"/>
        <w:rPr>
          <w:rFonts w:ascii="宋体"/>
          <w:b/>
          <w:bCs/>
          <w:color w:val="0D0D0D"/>
          <w:sz w:val="24"/>
          <w:szCs w:val="24"/>
        </w:rPr>
      </w:pPr>
    </w:p>
    <w:p w14:paraId="65BF5914">
      <w:pPr>
        <w:pStyle w:val="7"/>
        <w:keepNext w:val="0"/>
        <w:keepLines w:val="0"/>
        <w:pageBreakBefore w:val="0"/>
        <w:kinsoku/>
        <w:overflowPunct/>
        <w:topLinePunct w:val="0"/>
        <w:bidi w:val="0"/>
        <w:spacing w:beforeAutospacing="0" w:after="0" w:afterAutospacing="0"/>
      </w:pPr>
    </w:p>
    <w:p w14:paraId="62F0DF8D">
      <w:pPr>
        <w:keepNext w:val="0"/>
        <w:keepLines w:val="0"/>
        <w:pageBreakBefore w:val="0"/>
        <w:kinsoku/>
        <w:overflowPunct/>
        <w:topLinePunct w:val="0"/>
        <w:bidi w:val="0"/>
        <w:spacing w:beforeAutospacing="0" w:after="0" w:afterAutospacing="0"/>
        <w:rPr>
          <w:rFonts w:ascii="宋体"/>
          <w:b/>
          <w:bCs/>
          <w:color w:val="0D0D0D"/>
          <w:sz w:val="24"/>
          <w:szCs w:val="24"/>
        </w:rPr>
      </w:pPr>
      <w:r>
        <w:rPr>
          <w:rFonts w:ascii="宋体"/>
          <w:b/>
          <w:bCs/>
          <w:color w:val="0D0D0D"/>
          <w:sz w:val="24"/>
          <w:szCs w:val="24"/>
        </w:rPr>
        <w:br w:type="page"/>
      </w:r>
    </w:p>
    <w:p w14:paraId="17464973">
      <w:pPr>
        <w:keepNext w:val="0"/>
        <w:keepLines w:val="0"/>
        <w:pageBreakBefore w:val="0"/>
        <w:kinsoku/>
        <w:overflowPunct/>
        <w:topLinePunct w:val="0"/>
        <w:bidi w:val="0"/>
        <w:spacing w:beforeAutospacing="0" w:after="0" w:afterAutospacing="0" w:line="360" w:lineRule="auto"/>
        <w:rPr>
          <w:rFonts w:ascii="宋体" w:hAnsi="宋体" w:cs="宋体"/>
          <w:b/>
          <w:bCs/>
          <w:sz w:val="24"/>
          <w:szCs w:val="24"/>
        </w:rPr>
      </w:pPr>
      <w:r>
        <w:rPr>
          <w:rFonts w:hint="eastAsia" w:ascii="宋体" w:hAnsi="宋体" w:cs="宋体"/>
          <w:b/>
          <w:bCs/>
          <w:sz w:val="24"/>
          <w:szCs w:val="24"/>
        </w:rPr>
        <w:t>1、资格审查资料目录</w:t>
      </w:r>
    </w:p>
    <w:p w14:paraId="0BB8E8DB">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（1）有效的企业法人营业执照副本原件复印件；</w:t>
      </w:r>
    </w:p>
    <w:p w14:paraId="07E830A5">
      <w:pPr>
        <w:keepNext w:val="0"/>
        <w:keepLines w:val="0"/>
        <w:pageBreakBefore w:val="0"/>
        <w:kinsoku/>
        <w:overflowPunct/>
        <w:topLinePunct w:val="0"/>
        <w:bidi w:val="0"/>
        <w:spacing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（2) 法定代表人授权委托书及经办人身份证原件复印件；</w:t>
      </w:r>
    </w:p>
    <w:p w14:paraId="625DD8F7">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hAnsi="宋体" w:cs="宋体"/>
          <w:sz w:val="24"/>
          <w:szCs w:val="24"/>
        </w:rPr>
        <w:t>（</w:t>
      </w:r>
      <w:r>
        <w:rPr>
          <w:rFonts w:hint="eastAsia" w:ascii="宋体" w:hAnsi="宋体"/>
          <w:sz w:val="24"/>
        </w:rPr>
        <w:t>3）中小企业声明函</w:t>
      </w:r>
      <w:r>
        <w:rPr>
          <w:rFonts w:ascii="宋体" w:hAnsi="宋体"/>
          <w:sz w:val="24"/>
        </w:rPr>
        <w:t>(</w:t>
      </w:r>
      <w:r>
        <w:rPr>
          <w:rFonts w:hint="eastAsia" w:ascii="宋体" w:hAnsi="宋体"/>
          <w:sz w:val="24"/>
        </w:rPr>
        <w:t>格式见附件2</w:t>
      </w:r>
      <w:r>
        <w:rPr>
          <w:rFonts w:ascii="宋体" w:hAnsi="宋体"/>
          <w:sz w:val="24"/>
        </w:rPr>
        <w:t>.5)</w:t>
      </w:r>
      <w:r>
        <w:rPr>
          <w:rFonts w:hint="eastAsia" w:ascii="宋体" w:hAnsi="宋体"/>
          <w:sz w:val="24"/>
        </w:rPr>
        <w:t>；</w:t>
      </w:r>
    </w:p>
    <w:p w14:paraId="28A83585">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hAnsi="宋体" w:cs="宋体"/>
          <w:sz w:val="24"/>
          <w:szCs w:val="24"/>
        </w:rPr>
        <w:t>（</w:t>
      </w:r>
      <w:r>
        <w:rPr>
          <w:rFonts w:hint="eastAsia" w:ascii="宋体" w:hAnsi="宋体"/>
          <w:spacing w:val="6"/>
          <w:sz w:val="24"/>
        </w:rPr>
        <w:t>4）残疾人福利性单位声明函（</w:t>
      </w:r>
      <w:r>
        <w:rPr>
          <w:rFonts w:hint="eastAsia" w:ascii="宋体" w:hAnsi="宋体"/>
          <w:b/>
          <w:spacing w:val="6"/>
          <w:sz w:val="24"/>
        </w:rPr>
        <w:t>如有</w:t>
      </w:r>
      <w:r>
        <w:rPr>
          <w:rFonts w:hint="eastAsia" w:ascii="宋体" w:hAnsi="宋体"/>
          <w:spacing w:val="6"/>
          <w:sz w:val="24"/>
        </w:rPr>
        <w:t>）</w:t>
      </w:r>
      <w:r>
        <w:rPr>
          <w:rFonts w:ascii="宋体" w:hAnsi="宋体"/>
          <w:sz w:val="24"/>
        </w:rPr>
        <w:t>(</w:t>
      </w:r>
      <w:r>
        <w:rPr>
          <w:rFonts w:hint="eastAsia" w:ascii="宋体" w:hAnsi="宋体"/>
          <w:sz w:val="24"/>
        </w:rPr>
        <w:t>格式见附件2</w:t>
      </w:r>
      <w:r>
        <w:rPr>
          <w:rFonts w:ascii="宋体" w:hAnsi="宋体"/>
          <w:sz w:val="24"/>
        </w:rPr>
        <w:t>.6)</w:t>
      </w:r>
      <w:r>
        <w:rPr>
          <w:rFonts w:hint="eastAsia" w:ascii="宋体" w:hAnsi="宋体"/>
          <w:sz w:val="24"/>
        </w:rPr>
        <w:t>；</w:t>
      </w:r>
    </w:p>
    <w:p w14:paraId="61F14A8C">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hAnsi="宋体"/>
          <w:sz w:val="24"/>
        </w:rPr>
      </w:pPr>
      <w:r>
        <w:rPr>
          <w:rFonts w:hint="eastAsia" w:ascii="宋体" w:hAnsi="宋体" w:cs="宋体"/>
          <w:sz w:val="24"/>
          <w:szCs w:val="24"/>
        </w:rPr>
        <w:t>（</w:t>
      </w:r>
      <w:r>
        <w:rPr>
          <w:rFonts w:hint="eastAsia" w:ascii="宋体" w:hAnsi="宋体" w:cs="仿宋_GB2312"/>
          <w:sz w:val="24"/>
        </w:rPr>
        <w:t>5）监狱企业证明文件</w:t>
      </w:r>
      <w:r>
        <w:rPr>
          <w:rFonts w:hint="eastAsia" w:ascii="宋体" w:hAnsi="宋体"/>
          <w:spacing w:val="6"/>
          <w:sz w:val="24"/>
        </w:rPr>
        <w:t>（</w:t>
      </w:r>
      <w:r>
        <w:rPr>
          <w:rFonts w:hint="eastAsia" w:ascii="宋体" w:hAnsi="宋体"/>
          <w:b/>
          <w:spacing w:val="6"/>
          <w:sz w:val="24"/>
        </w:rPr>
        <w:t>如有</w:t>
      </w:r>
      <w:r>
        <w:rPr>
          <w:rFonts w:hint="eastAsia" w:ascii="宋体" w:hAnsi="宋体"/>
          <w:spacing w:val="6"/>
          <w:sz w:val="24"/>
        </w:rPr>
        <w:t>）</w:t>
      </w:r>
      <w:r>
        <w:rPr>
          <w:rFonts w:ascii="宋体" w:hAnsi="宋体"/>
          <w:sz w:val="24"/>
        </w:rPr>
        <w:t>(</w:t>
      </w:r>
      <w:r>
        <w:rPr>
          <w:rFonts w:hint="eastAsia" w:ascii="宋体" w:hAnsi="宋体"/>
          <w:sz w:val="24"/>
        </w:rPr>
        <w:t>格式自拟</w:t>
      </w:r>
      <w:r>
        <w:rPr>
          <w:rFonts w:ascii="宋体" w:hAnsi="宋体"/>
          <w:sz w:val="24"/>
        </w:rPr>
        <w:t>)</w:t>
      </w:r>
      <w:r>
        <w:rPr>
          <w:rFonts w:hint="eastAsia" w:ascii="宋体" w:hAnsi="宋体"/>
          <w:sz w:val="24"/>
        </w:rPr>
        <w:t>；</w:t>
      </w:r>
    </w:p>
    <w:p w14:paraId="4F851B4E">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（6) 合格投标人资格要求的相关文件复印件；</w:t>
      </w:r>
    </w:p>
    <w:p w14:paraId="257AF28A">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szCs w:val="24"/>
        </w:rPr>
        <w:t>（7) 投标人认为有必要提供的其它文件。</w:t>
      </w:r>
    </w:p>
    <w:p w14:paraId="4C0B4318">
      <w:pPr>
        <w:keepNext w:val="0"/>
        <w:keepLines w:val="0"/>
        <w:pageBreakBefore w:val="0"/>
        <w:kinsoku/>
        <w:overflowPunct/>
        <w:topLinePunct w:val="0"/>
        <w:bidi w:val="0"/>
        <w:snapToGrid w:val="0"/>
        <w:spacing w:beforeAutospacing="0" w:after="0" w:afterAutospacing="0" w:line="360" w:lineRule="auto"/>
        <w:jc w:val="left"/>
        <w:rPr>
          <w:rFonts w:ascii="宋体"/>
          <w:color w:val="0D0D0D"/>
          <w:sz w:val="24"/>
          <w:szCs w:val="24"/>
        </w:rPr>
      </w:pPr>
      <w:r>
        <w:rPr>
          <w:rFonts w:ascii="宋体" w:hAnsi="宋体" w:cs="宋体"/>
          <w:b/>
          <w:bCs/>
          <w:color w:val="0D0D0D"/>
          <w:sz w:val="24"/>
          <w:szCs w:val="24"/>
        </w:rPr>
        <w:t>2</w:t>
      </w:r>
      <w:r>
        <w:rPr>
          <w:rFonts w:ascii="宋体" w:cs="宋体"/>
          <w:b/>
          <w:bCs/>
          <w:color w:val="0D0D0D"/>
          <w:sz w:val="24"/>
          <w:szCs w:val="24"/>
        </w:rPr>
        <w:t>.</w:t>
      </w:r>
      <w:r>
        <w:rPr>
          <w:rFonts w:hint="eastAsia" w:ascii="宋体" w:hAnsi="宋体" w:cs="宋体"/>
          <w:b/>
          <w:bCs/>
          <w:color w:val="0D0D0D"/>
          <w:sz w:val="24"/>
          <w:szCs w:val="24"/>
        </w:rPr>
        <w:t>资信商务及技术文件目录</w:t>
      </w:r>
    </w:p>
    <w:p w14:paraId="01102148">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）评分响应表（格式见附件2.</w:t>
      </w:r>
      <w:r>
        <w:rPr>
          <w:rFonts w:ascii="宋体" w:hAnsi="宋体"/>
          <w:sz w:val="24"/>
        </w:rPr>
        <w:t>1</w:t>
      </w:r>
      <w:r>
        <w:rPr>
          <w:rFonts w:hint="eastAsia" w:ascii="宋体" w:hAnsi="宋体"/>
          <w:sz w:val="24"/>
        </w:rPr>
        <w:t>）；</w:t>
      </w:r>
    </w:p>
    <w:p w14:paraId="63AE9958">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）投标声明书</w:t>
      </w:r>
      <w:r>
        <w:rPr>
          <w:rFonts w:ascii="宋体" w:hAnsi="宋体"/>
          <w:sz w:val="24"/>
        </w:rPr>
        <w:t>(</w:t>
      </w:r>
      <w:r>
        <w:rPr>
          <w:rFonts w:hint="eastAsia" w:ascii="宋体" w:hAnsi="宋体"/>
          <w:sz w:val="24"/>
        </w:rPr>
        <w:t>格式见附件2</w:t>
      </w:r>
      <w:r>
        <w:rPr>
          <w:rFonts w:ascii="宋体" w:hAnsi="宋体"/>
          <w:sz w:val="24"/>
        </w:rPr>
        <w:t>.2)</w:t>
      </w:r>
      <w:r>
        <w:rPr>
          <w:rFonts w:hint="eastAsia" w:ascii="宋体" w:hAnsi="宋体"/>
          <w:sz w:val="24"/>
        </w:rPr>
        <w:t>；</w:t>
      </w:r>
    </w:p>
    <w:p w14:paraId="7A788DD8">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）法定代表人授权委托书</w:t>
      </w:r>
      <w:r>
        <w:rPr>
          <w:rFonts w:ascii="宋体" w:hAnsi="宋体"/>
          <w:sz w:val="24"/>
        </w:rPr>
        <w:t>(</w:t>
      </w:r>
      <w:r>
        <w:rPr>
          <w:rFonts w:hint="eastAsia" w:ascii="宋体" w:hAnsi="宋体"/>
          <w:sz w:val="24"/>
        </w:rPr>
        <w:t>格式见附件2</w:t>
      </w:r>
      <w:r>
        <w:rPr>
          <w:rFonts w:ascii="宋体" w:hAnsi="宋体"/>
          <w:sz w:val="24"/>
        </w:rPr>
        <w:t>.3)</w:t>
      </w:r>
      <w:r>
        <w:rPr>
          <w:rFonts w:hint="eastAsia" w:ascii="宋体" w:hAnsi="宋体"/>
          <w:sz w:val="24"/>
        </w:rPr>
        <w:t>；</w:t>
      </w:r>
    </w:p>
    <w:p w14:paraId="3BD1B51A">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）投标单位情况表</w:t>
      </w:r>
      <w:r>
        <w:rPr>
          <w:rFonts w:ascii="宋体" w:hAnsi="宋体"/>
          <w:sz w:val="24"/>
        </w:rPr>
        <w:t>(</w:t>
      </w:r>
      <w:r>
        <w:rPr>
          <w:rFonts w:hint="eastAsia" w:ascii="宋体" w:hAnsi="宋体"/>
          <w:sz w:val="24"/>
        </w:rPr>
        <w:t>格式见附件2</w:t>
      </w:r>
      <w:r>
        <w:rPr>
          <w:rFonts w:ascii="宋体" w:hAnsi="宋体"/>
          <w:sz w:val="24"/>
        </w:rPr>
        <w:t>.4)</w:t>
      </w:r>
      <w:r>
        <w:rPr>
          <w:rFonts w:hint="eastAsia" w:ascii="宋体" w:hAnsi="宋体"/>
          <w:sz w:val="24"/>
        </w:rPr>
        <w:t>；</w:t>
      </w:r>
    </w:p>
    <w:p w14:paraId="1EC842AB">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（5）营业执照副本复印件；</w:t>
      </w:r>
    </w:p>
    <w:p w14:paraId="7CEF8522">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hAnsi="宋体"/>
          <w:sz w:val="24"/>
        </w:rPr>
        <w:t>（6）投标人过往类似业绩</w:t>
      </w:r>
      <w:r>
        <w:rPr>
          <w:rFonts w:hint="eastAsia" w:ascii="宋体"/>
          <w:sz w:val="24"/>
        </w:rPr>
        <w:t>合同复印件（格式见附件2.7）；</w:t>
      </w:r>
    </w:p>
    <w:p w14:paraId="12F4F107">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hAnsi="宋体"/>
          <w:sz w:val="24"/>
        </w:rPr>
        <w:t>（7）</w:t>
      </w:r>
      <w:r>
        <w:rPr>
          <w:rFonts w:hint="eastAsia" w:ascii="宋体"/>
          <w:sz w:val="24"/>
        </w:rPr>
        <w:t>商务响应表（格式见附件2</w:t>
      </w:r>
      <w:r>
        <w:rPr>
          <w:rFonts w:ascii="宋体"/>
          <w:sz w:val="24"/>
        </w:rPr>
        <w:t>.8</w:t>
      </w:r>
      <w:r>
        <w:rPr>
          <w:rFonts w:hint="eastAsia" w:ascii="宋体"/>
          <w:sz w:val="24"/>
        </w:rPr>
        <w:t>）；</w:t>
      </w:r>
    </w:p>
    <w:p w14:paraId="2D75077C">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hAnsi="宋体"/>
          <w:sz w:val="24"/>
        </w:rPr>
        <w:t>（8）投标产品服务计划表（格式见附件2</w:t>
      </w:r>
      <w:r>
        <w:rPr>
          <w:rFonts w:ascii="宋体" w:hAnsi="宋体"/>
          <w:sz w:val="24"/>
        </w:rPr>
        <w:t>.9</w:t>
      </w:r>
      <w:r>
        <w:rPr>
          <w:rFonts w:hint="eastAsia" w:ascii="宋体" w:hAnsi="宋体"/>
          <w:sz w:val="24"/>
        </w:rPr>
        <w:t>）；</w:t>
      </w:r>
    </w:p>
    <w:p w14:paraId="124D85D4">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sz w:val="24"/>
        </w:rPr>
      </w:pPr>
      <w:r>
        <w:rPr>
          <w:rFonts w:hint="eastAsia" w:ascii="宋体"/>
          <w:sz w:val="24"/>
        </w:rPr>
        <w:t>（9）</w:t>
      </w:r>
      <w:r>
        <w:rPr>
          <w:rFonts w:hint="eastAsia"/>
          <w:sz w:val="24"/>
        </w:rPr>
        <w:t>技术响应表（格式见附件</w:t>
      </w:r>
      <w:r>
        <w:rPr>
          <w:rFonts w:hint="eastAsia" w:ascii="宋体" w:hAnsi="宋体" w:cs="宋体"/>
          <w:sz w:val="24"/>
        </w:rPr>
        <w:t>2.10</w:t>
      </w:r>
      <w:r>
        <w:rPr>
          <w:rFonts w:hint="eastAsia"/>
          <w:sz w:val="24"/>
        </w:rPr>
        <w:t>）；</w:t>
      </w:r>
    </w:p>
    <w:p w14:paraId="1F35A3FB">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（10）投标人拟派项目负责人、技术负责人及其他主要人员个人证书及身份证</w:t>
      </w:r>
      <w:r>
        <w:rPr>
          <w:rFonts w:ascii="宋体" w:hAnsi="宋体"/>
          <w:sz w:val="24"/>
        </w:rPr>
        <w:t>(</w:t>
      </w:r>
      <w:r>
        <w:rPr>
          <w:rFonts w:hint="eastAsia" w:ascii="宋体" w:hAnsi="宋体"/>
          <w:sz w:val="24"/>
        </w:rPr>
        <w:t>格式见附件2.11</w:t>
      </w:r>
      <w:r>
        <w:rPr>
          <w:rFonts w:ascii="宋体" w:hAnsi="宋体"/>
          <w:sz w:val="24"/>
        </w:rPr>
        <w:t>)</w:t>
      </w:r>
      <w:r>
        <w:rPr>
          <w:rFonts w:hint="eastAsia" w:ascii="宋体" w:hAnsi="宋体"/>
          <w:sz w:val="24"/>
        </w:rPr>
        <w:t>；</w:t>
      </w:r>
    </w:p>
    <w:p w14:paraId="7D7E33E9">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（11）货物主要技术指标、功能及配置的详细说明（格式见附件2.12）；</w:t>
      </w:r>
    </w:p>
    <w:p w14:paraId="3E65233D">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sz w:val="24"/>
        </w:rPr>
      </w:pPr>
      <w:r>
        <w:rPr>
          <w:rFonts w:hint="eastAsia" w:ascii="宋体" w:hAnsi="宋体"/>
          <w:sz w:val="24"/>
        </w:rPr>
        <w:t>（12）投标货物的彩图；</w:t>
      </w:r>
    </w:p>
    <w:p w14:paraId="5166F74E">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sz w:val="24"/>
        </w:rPr>
      </w:pPr>
      <w:r>
        <w:rPr>
          <w:rFonts w:hint="eastAsia" w:ascii="宋体" w:hAnsi="宋体"/>
          <w:sz w:val="24"/>
        </w:rPr>
        <w:t>（13）主要产品的质检报告；</w:t>
      </w:r>
    </w:p>
    <w:p w14:paraId="00B44D5B">
      <w:pPr>
        <w:pStyle w:val="28"/>
        <w:keepNext w:val="0"/>
        <w:keepLines w:val="0"/>
        <w:pageBreakBefore w:val="0"/>
        <w:kinsoku/>
        <w:overflowPunct/>
        <w:topLinePunct w:val="0"/>
        <w:bidi w:val="0"/>
        <w:snapToGrid w:val="0"/>
        <w:spacing w:beforeLines="0" w:beforeAutospacing="0" w:after="0" w:afterLines="0" w:afterAutospacing="0" w:line="360" w:lineRule="auto"/>
        <w:ind w:firstLine="600" w:firstLineChars="250"/>
      </w:pPr>
      <w:r>
        <w:rPr>
          <w:rFonts w:hAnsi="宋体"/>
        </w:rPr>
        <w:t>(</w:t>
      </w:r>
      <w:r>
        <w:rPr>
          <w:rFonts w:hint="eastAsia" w:hAnsi="宋体"/>
        </w:rPr>
        <w:t>14</w:t>
      </w:r>
      <w:r>
        <w:rPr>
          <w:rFonts w:hAnsi="宋体"/>
        </w:rPr>
        <w:t>)</w:t>
      </w:r>
      <w:r>
        <w:rPr>
          <w:rFonts w:hint="eastAsia" w:hAnsi="宋体"/>
        </w:rPr>
        <w:t xml:space="preserve"> 投标该项目的优势及自我评价；</w:t>
      </w:r>
    </w:p>
    <w:p w14:paraId="31FBE29B">
      <w:pPr>
        <w:keepNext w:val="0"/>
        <w:keepLines w:val="0"/>
        <w:pageBreakBefore w:val="0"/>
        <w:kinsoku/>
        <w:overflowPunct/>
        <w:topLinePunct w:val="0"/>
        <w:bidi w:val="0"/>
        <w:snapToGrid w:val="0"/>
        <w:spacing w:beforeAutospacing="0" w:after="0" w:afterAutospacing="0" w:line="360" w:lineRule="auto"/>
        <w:ind w:left="48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5）技术服务方案；</w:t>
      </w:r>
    </w:p>
    <w:p w14:paraId="32D2F683">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hAnsi="宋体"/>
          <w:sz w:val="24"/>
        </w:rPr>
      </w:pPr>
      <w:r>
        <w:rPr>
          <w:rFonts w:hint="eastAsia" w:ascii="宋体" w:hAnsi="宋体"/>
          <w:sz w:val="24"/>
        </w:rPr>
        <w:t>（16）优惠条件：投标人承诺给予招标人的各种优惠条件，包括售后服务、服务网点、备品备件、专用耗材等方面的优惠；</w:t>
      </w:r>
    </w:p>
    <w:p w14:paraId="2DFFFC7A">
      <w:pPr>
        <w:keepNext w:val="0"/>
        <w:keepLines w:val="0"/>
        <w:pageBreakBefore w:val="0"/>
        <w:kinsoku/>
        <w:overflowPunct/>
        <w:topLinePunct w:val="0"/>
        <w:bidi w:val="0"/>
        <w:snapToGrid w:val="0"/>
        <w:spacing w:beforeAutospacing="0" w:after="0" w:afterAutospacing="0" w:line="360" w:lineRule="auto"/>
        <w:ind w:firstLine="470" w:firstLineChars="196"/>
        <w:jc w:val="left"/>
        <w:rPr>
          <w:rFonts w:ascii="宋体" w:hAnsi="宋体" w:cs="宋体"/>
          <w:color w:val="0D0D0D"/>
          <w:sz w:val="24"/>
          <w:szCs w:val="24"/>
        </w:rPr>
      </w:pPr>
      <w:r>
        <w:rPr>
          <w:rFonts w:hint="eastAsia" w:ascii="宋体" w:hAnsi="宋体" w:cs="宋体"/>
          <w:color w:val="0D0D0D"/>
          <w:sz w:val="24"/>
          <w:szCs w:val="24"/>
        </w:rPr>
        <w:t>（17）政府采购代理机构社会评价表（附件2.13）；</w:t>
      </w:r>
    </w:p>
    <w:p w14:paraId="4F042A3A">
      <w:pPr>
        <w:keepNext w:val="0"/>
        <w:keepLines w:val="0"/>
        <w:pageBreakBefore w:val="0"/>
        <w:kinsoku/>
        <w:overflowPunct/>
        <w:topLinePunct w:val="0"/>
        <w:bidi w:val="0"/>
        <w:snapToGrid w:val="0"/>
        <w:spacing w:beforeAutospacing="0" w:after="0" w:afterAutospacing="0" w:line="360" w:lineRule="auto"/>
        <w:ind w:firstLine="480" w:firstLineChars="200"/>
        <w:jc w:val="left"/>
        <w:rPr>
          <w:rFonts w:ascii="宋体" w:hAnsi="宋体"/>
          <w:sz w:val="24"/>
        </w:rPr>
      </w:pPr>
      <w:r>
        <w:rPr>
          <w:rFonts w:hint="eastAsia" w:ascii="宋体" w:hAnsi="宋体"/>
          <w:sz w:val="24"/>
        </w:rPr>
        <w:t>（18）投标人需要说明的其他文件和说明。</w:t>
      </w:r>
    </w:p>
    <w:p w14:paraId="38E3274F">
      <w:pPr>
        <w:keepNext w:val="0"/>
        <w:keepLines w:val="0"/>
        <w:pageBreakBefore w:val="0"/>
        <w:kinsoku/>
        <w:overflowPunct/>
        <w:topLinePunct w:val="0"/>
        <w:bidi w:val="0"/>
        <w:spacing w:beforeAutospacing="0" w:after="0" w:afterAutospacing="0"/>
        <w:rPr>
          <w:rFonts w:ascii="宋体" w:hAnsi="宋体" w:cs="宋体"/>
          <w:b/>
          <w:bCs/>
          <w:sz w:val="24"/>
          <w:szCs w:val="24"/>
        </w:rPr>
      </w:pPr>
      <w:r>
        <w:rPr>
          <w:rFonts w:ascii="宋体" w:hAnsi="宋体" w:cs="宋体"/>
          <w:b/>
          <w:bCs/>
          <w:sz w:val="24"/>
          <w:szCs w:val="24"/>
        </w:rPr>
        <w:br w:type="page"/>
      </w:r>
    </w:p>
    <w:p w14:paraId="22633BDF">
      <w:pPr>
        <w:keepNext w:val="0"/>
        <w:keepLines w:val="0"/>
        <w:pageBreakBefore w:val="0"/>
        <w:kinsoku/>
        <w:overflowPunct/>
        <w:topLinePunct w:val="0"/>
        <w:bidi w:val="0"/>
        <w:snapToGrid w:val="0"/>
        <w:spacing w:beforeAutospacing="0" w:after="0" w:afterAutospacing="0"/>
        <w:jc w:val="left"/>
        <w:rPr>
          <w:rFonts w:ascii="宋体"/>
          <w:b/>
          <w:bCs/>
          <w:sz w:val="24"/>
          <w:szCs w:val="24"/>
        </w:rPr>
      </w:pPr>
      <w:r>
        <w:rPr>
          <w:rFonts w:ascii="宋体" w:hAnsi="宋体" w:cs="宋体"/>
          <w:b/>
          <w:bCs/>
          <w:sz w:val="24"/>
          <w:szCs w:val="24"/>
        </w:rPr>
        <w:t>2.1</w:t>
      </w:r>
      <w:r>
        <w:rPr>
          <w:rFonts w:hint="eastAsia" w:ascii="宋体" w:hAnsi="宋体" w:cs="宋体"/>
          <w:b/>
          <w:bCs/>
          <w:sz w:val="24"/>
          <w:szCs w:val="24"/>
        </w:rPr>
        <w:t>评分响应表格式：</w:t>
      </w:r>
    </w:p>
    <w:p w14:paraId="26CE896B">
      <w:pPr>
        <w:keepNext w:val="0"/>
        <w:keepLines w:val="0"/>
        <w:pageBreakBefore w:val="0"/>
        <w:kinsoku/>
        <w:overflowPunct/>
        <w:topLinePunct w:val="0"/>
        <w:bidi w:val="0"/>
        <w:snapToGrid w:val="0"/>
        <w:spacing w:beforeAutospacing="0" w:after="0" w:afterAutospacing="0" w:line="400" w:lineRule="exact"/>
        <w:rPr>
          <w:rFonts w:ascii="宋体"/>
          <w:b/>
          <w:bCs/>
          <w:color w:val="000000"/>
          <w:sz w:val="24"/>
          <w:szCs w:val="24"/>
          <w:u w:val="single"/>
        </w:rPr>
      </w:pPr>
      <w:r>
        <w:rPr>
          <w:rFonts w:hint="eastAsia" w:ascii="宋体" w:hAnsi="宋体" w:cs="宋体"/>
          <w:b/>
          <w:bCs/>
          <w:color w:val="000000"/>
          <w:sz w:val="24"/>
          <w:szCs w:val="24"/>
        </w:rPr>
        <w:t>项目名称：</w:t>
      </w:r>
    </w:p>
    <w:tbl>
      <w:tblPr>
        <w:tblStyle w:val="49"/>
        <w:tblW w:w="931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86"/>
        <w:gridCol w:w="1814"/>
        <w:gridCol w:w="2628"/>
        <w:gridCol w:w="1156"/>
        <w:gridCol w:w="2933"/>
      </w:tblGrid>
      <w:tr w14:paraId="04262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786" w:type="dxa"/>
            <w:tcBorders>
              <w:top w:val="single" w:color="auto" w:sz="4" w:space="0"/>
              <w:bottom w:val="single" w:color="auto" w:sz="4" w:space="0"/>
              <w:right w:val="single" w:color="auto" w:sz="4" w:space="0"/>
            </w:tcBorders>
            <w:vAlign w:val="center"/>
          </w:tcPr>
          <w:p w14:paraId="31FB44B4">
            <w:pPr>
              <w:pStyle w:val="38"/>
              <w:keepNext w:val="0"/>
              <w:keepLines w:val="0"/>
              <w:pageBreakBefore w:val="0"/>
              <w:kinsoku/>
              <w:overflowPunct/>
              <w:topLinePunct w:val="0"/>
              <w:bidi w:val="0"/>
              <w:spacing w:beforeAutospacing="0" w:after="0" w:afterAutospacing="0" w:line="400" w:lineRule="exact"/>
              <w:ind w:firstLine="0" w:firstLineChars="0"/>
              <w:rPr>
                <w:rFonts w:ascii="宋体" w:eastAsia="宋体" w:cs="Times New Roman"/>
                <w:b/>
                <w:bCs/>
              </w:rPr>
            </w:pPr>
            <w:r>
              <w:rPr>
                <w:rFonts w:hint="eastAsia" w:ascii="宋体" w:eastAsia="宋体" w:cs="宋体"/>
                <w:b/>
                <w:bCs/>
              </w:rPr>
              <w:t>序号</w:t>
            </w:r>
          </w:p>
        </w:tc>
        <w:tc>
          <w:tcPr>
            <w:tcW w:w="1814" w:type="dxa"/>
            <w:tcBorders>
              <w:top w:val="single" w:color="auto" w:sz="4" w:space="0"/>
              <w:left w:val="single" w:color="auto" w:sz="4" w:space="0"/>
              <w:bottom w:val="single" w:color="auto" w:sz="4" w:space="0"/>
              <w:right w:val="single" w:color="auto" w:sz="4" w:space="0"/>
            </w:tcBorders>
            <w:vAlign w:val="center"/>
          </w:tcPr>
          <w:p w14:paraId="23457925">
            <w:pPr>
              <w:pStyle w:val="38"/>
              <w:keepNext w:val="0"/>
              <w:keepLines w:val="0"/>
              <w:pageBreakBefore w:val="0"/>
              <w:kinsoku/>
              <w:overflowPunct/>
              <w:topLinePunct w:val="0"/>
              <w:bidi w:val="0"/>
              <w:spacing w:beforeAutospacing="0" w:after="0" w:afterAutospacing="0" w:line="400" w:lineRule="exact"/>
              <w:ind w:firstLine="0" w:firstLineChars="0"/>
              <w:rPr>
                <w:rFonts w:ascii="宋体" w:eastAsia="宋体" w:cs="Times New Roman"/>
                <w:b/>
                <w:bCs/>
              </w:rPr>
            </w:pPr>
            <w:r>
              <w:rPr>
                <w:rFonts w:hint="eastAsia" w:ascii="宋体" w:eastAsia="宋体" w:cs="宋体"/>
                <w:b/>
                <w:bCs/>
              </w:rPr>
              <w:t>评审内容</w:t>
            </w:r>
          </w:p>
        </w:tc>
        <w:tc>
          <w:tcPr>
            <w:tcW w:w="2628" w:type="dxa"/>
            <w:tcBorders>
              <w:top w:val="single" w:color="auto" w:sz="4" w:space="0"/>
              <w:left w:val="single" w:color="auto" w:sz="4" w:space="0"/>
              <w:bottom w:val="single" w:color="auto" w:sz="4" w:space="0"/>
              <w:right w:val="single" w:color="auto" w:sz="4" w:space="0"/>
            </w:tcBorders>
            <w:vAlign w:val="center"/>
          </w:tcPr>
          <w:p w14:paraId="6FF8B6A8">
            <w:pPr>
              <w:pStyle w:val="38"/>
              <w:keepNext w:val="0"/>
              <w:keepLines w:val="0"/>
              <w:pageBreakBefore w:val="0"/>
              <w:kinsoku/>
              <w:overflowPunct/>
              <w:topLinePunct w:val="0"/>
              <w:bidi w:val="0"/>
              <w:spacing w:beforeAutospacing="0" w:after="0" w:afterAutospacing="0" w:line="400" w:lineRule="exact"/>
              <w:ind w:left="367" w:leftChars="175" w:firstLine="489"/>
              <w:rPr>
                <w:rFonts w:ascii="宋体" w:eastAsia="宋体" w:cs="Times New Roman"/>
                <w:b/>
                <w:bCs/>
              </w:rPr>
            </w:pPr>
            <w:r>
              <w:rPr>
                <w:rFonts w:hint="eastAsia" w:ascii="宋体" w:eastAsia="宋体" w:cs="宋体"/>
                <w:b/>
                <w:bCs/>
              </w:rPr>
              <w:t>评分标准</w:t>
            </w:r>
          </w:p>
        </w:tc>
        <w:tc>
          <w:tcPr>
            <w:tcW w:w="1156" w:type="dxa"/>
            <w:tcBorders>
              <w:top w:val="single" w:color="auto" w:sz="4" w:space="0"/>
              <w:left w:val="single" w:color="auto" w:sz="4" w:space="0"/>
              <w:bottom w:val="single" w:color="auto" w:sz="4" w:space="0"/>
              <w:right w:val="single" w:color="auto" w:sz="4" w:space="0"/>
            </w:tcBorders>
            <w:vAlign w:val="center"/>
          </w:tcPr>
          <w:p w14:paraId="72500C61">
            <w:pPr>
              <w:pStyle w:val="38"/>
              <w:keepNext w:val="0"/>
              <w:keepLines w:val="0"/>
              <w:pageBreakBefore w:val="0"/>
              <w:kinsoku/>
              <w:overflowPunct/>
              <w:topLinePunct w:val="0"/>
              <w:bidi w:val="0"/>
              <w:spacing w:beforeAutospacing="0" w:after="0" w:afterAutospacing="0" w:line="400" w:lineRule="exact"/>
              <w:ind w:firstLine="0" w:firstLineChars="0"/>
              <w:rPr>
                <w:rFonts w:ascii="宋体" w:eastAsia="宋体" w:cs="Times New Roman"/>
                <w:b/>
                <w:bCs/>
              </w:rPr>
            </w:pPr>
            <w:r>
              <w:rPr>
                <w:rFonts w:hint="eastAsia" w:ascii="宋体" w:eastAsia="宋体" w:cs="宋体"/>
                <w:b/>
                <w:bCs/>
              </w:rPr>
              <w:t>分值</w:t>
            </w:r>
          </w:p>
        </w:tc>
        <w:tc>
          <w:tcPr>
            <w:tcW w:w="2933" w:type="dxa"/>
            <w:tcBorders>
              <w:top w:val="single" w:color="auto" w:sz="4" w:space="0"/>
              <w:left w:val="single" w:color="auto" w:sz="4" w:space="0"/>
              <w:bottom w:val="single" w:color="auto" w:sz="4" w:space="0"/>
            </w:tcBorders>
            <w:vAlign w:val="center"/>
          </w:tcPr>
          <w:p w14:paraId="453D5710">
            <w:pPr>
              <w:pStyle w:val="38"/>
              <w:keepNext w:val="0"/>
              <w:keepLines w:val="0"/>
              <w:pageBreakBefore w:val="0"/>
              <w:kinsoku/>
              <w:overflowPunct/>
              <w:topLinePunct w:val="0"/>
              <w:bidi w:val="0"/>
              <w:spacing w:beforeAutospacing="0" w:after="0" w:afterAutospacing="0" w:line="400" w:lineRule="exact"/>
              <w:ind w:left="480" w:firstLine="489"/>
              <w:rPr>
                <w:rFonts w:ascii="宋体" w:eastAsia="宋体" w:cs="Times New Roman"/>
                <w:b/>
                <w:bCs/>
              </w:rPr>
            </w:pPr>
            <w:r>
              <w:rPr>
                <w:rFonts w:hint="eastAsia" w:ascii="宋体" w:eastAsia="宋体" w:cs="宋体"/>
                <w:b/>
                <w:bCs/>
              </w:rPr>
              <w:t>页码</w:t>
            </w:r>
          </w:p>
        </w:tc>
      </w:tr>
      <w:tr w14:paraId="5ECAAE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86" w:type="dxa"/>
            <w:tcBorders>
              <w:top w:val="single" w:color="auto" w:sz="4" w:space="0"/>
              <w:bottom w:val="single" w:color="auto" w:sz="4" w:space="0"/>
              <w:right w:val="single" w:color="auto" w:sz="4" w:space="0"/>
            </w:tcBorders>
            <w:vAlign w:val="center"/>
          </w:tcPr>
          <w:p w14:paraId="7E652E28">
            <w:pPr>
              <w:keepNext w:val="0"/>
              <w:keepLines w:val="0"/>
              <w:pageBreakBefore w:val="0"/>
              <w:kinsoku/>
              <w:overflowPunct/>
              <w:topLinePunct w:val="0"/>
              <w:bidi w:val="0"/>
              <w:spacing w:beforeAutospacing="0" w:after="0" w:afterAutospacing="0" w:line="400" w:lineRule="exact"/>
              <w:rPr>
                <w:rFonts w:ascii="宋体"/>
                <w:b/>
                <w:bCs/>
                <w:color w:val="000000"/>
                <w:sz w:val="24"/>
                <w:szCs w:val="24"/>
              </w:rPr>
            </w:pPr>
            <w:r>
              <w:rPr>
                <w:rFonts w:hint="eastAsia" w:ascii="宋体" w:hAnsi="宋体" w:cs="宋体"/>
                <w:b/>
                <w:bCs/>
                <w:color w:val="000000"/>
                <w:sz w:val="24"/>
                <w:szCs w:val="24"/>
              </w:rPr>
              <w:t>一</w:t>
            </w:r>
          </w:p>
        </w:tc>
        <w:tc>
          <w:tcPr>
            <w:tcW w:w="1814" w:type="dxa"/>
            <w:tcBorders>
              <w:top w:val="single" w:color="auto" w:sz="4" w:space="0"/>
              <w:left w:val="single" w:color="auto" w:sz="4" w:space="0"/>
              <w:bottom w:val="single" w:color="auto" w:sz="4" w:space="0"/>
              <w:right w:val="single" w:color="auto" w:sz="4" w:space="0"/>
            </w:tcBorders>
            <w:vAlign w:val="center"/>
          </w:tcPr>
          <w:p w14:paraId="7D96F24A">
            <w:pPr>
              <w:keepNext w:val="0"/>
              <w:keepLines w:val="0"/>
              <w:pageBreakBefore w:val="0"/>
              <w:kinsoku/>
              <w:overflowPunct/>
              <w:topLinePunct w:val="0"/>
              <w:bidi w:val="0"/>
              <w:spacing w:beforeAutospacing="0" w:after="0" w:afterAutospacing="0" w:line="400" w:lineRule="exact"/>
              <w:rPr>
                <w:rFonts w:ascii="宋体"/>
                <w:b/>
                <w:bCs/>
                <w:color w:val="000000"/>
                <w:sz w:val="24"/>
                <w:szCs w:val="24"/>
              </w:rPr>
            </w:pPr>
            <w:r>
              <w:rPr>
                <w:rFonts w:hint="eastAsia" w:ascii="宋体" w:hAnsi="宋体" w:cs="宋体"/>
                <w:b/>
                <w:bCs/>
                <w:color w:val="000000"/>
                <w:sz w:val="24"/>
                <w:szCs w:val="24"/>
              </w:rPr>
              <w:t>商务、资信及技术分</w:t>
            </w:r>
          </w:p>
        </w:tc>
        <w:tc>
          <w:tcPr>
            <w:tcW w:w="2628" w:type="dxa"/>
            <w:tcBorders>
              <w:top w:val="single" w:color="auto" w:sz="4" w:space="0"/>
              <w:left w:val="single" w:color="auto" w:sz="4" w:space="0"/>
              <w:bottom w:val="single" w:color="auto" w:sz="4" w:space="0"/>
              <w:right w:val="single" w:color="auto" w:sz="4" w:space="0"/>
            </w:tcBorders>
            <w:vAlign w:val="center"/>
          </w:tcPr>
          <w:p w14:paraId="28ACFA12">
            <w:pPr>
              <w:pStyle w:val="38"/>
              <w:keepNext w:val="0"/>
              <w:keepLines w:val="0"/>
              <w:pageBreakBefore w:val="0"/>
              <w:kinsoku/>
              <w:overflowPunct/>
              <w:topLinePunct w:val="0"/>
              <w:bidi w:val="0"/>
              <w:spacing w:beforeAutospacing="0" w:after="0" w:afterAutospacing="0" w:line="400" w:lineRule="exact"/>
              <w:ind w:left="480" w:firstLine="489"/>
              <w:jc w:val="center"/>
              <w:rPr>
                <w:rFonts w:ascii="宋体" w:eastAsia="宋体" w:cs="Times New Roman"/>
                <w:b/>
                <w:bCs/>
              </w:rPr>
            </w:pPr>
          </w:p>
        </w:tc>
        <w:tc>
          <w:tcPr>
            <w:tcW w:w="1156" w:type="dxa"/>
            <w:tcBorders>
              <w:top w:val="single" w:color="auto" w:sz="4" w:space="0"/>
              <w:left w:val="single" w:color="auto" w:sz="4" w:space="0"/>
              <w:bottom w:val="single" w:color="auto" w:sz="4" w:space="0"/>
              <w:right w:val="single" w:color="auto" w:sz="4" w:space="0"/>
            </w:tcBorders>
            <w:vAlign w:val="center"/>
          </w:tcPr>
          <w:p w14:paraId="4AE2FEAC">
            <w:pPr>
              <w:pStyle w:val="38"/>
              <w:keepNext w:val="0"/>
              <w:keepLines w:val="0"/>
              <w:pageBreakBefore w:val="0"/>
              <w:kinsoku/>
              <w:overflowPunct/>
              <w:topLinePunct w:val="0"/>
              <w:bidi w:val="0"/>
              <w:spacing w:beforeAutospacing="0" w:after="0" w:afterAutospacing="0" w:line="400" w:lineRule="exact"/>
              <w:ind w:left="480" w:firstLine="489"/>
              <w:jc w:val="center"/>
              <w:rPr>
                <w:rFonts w:ascii="宋体" w:eastAsia="宋体" w:cs="Times New Roman"/>
                <w:b/>
                <w:bCs/>
              </w:rPr>
            </w:pPr>
          </w:p>
        </w:tc>
        <w:tc>
          <w:tcPr>
            <w:tcW w:w="2933" w:type="dxa"/>
            <w:tcBorders>
              <w:top w:val="single" w:color="auto" w:sz="4" w:space="0"/>
              <w:left w:val="single" w:color="auto" w:sz="4" w:space="0"/>
              <w:bottom w:val="single" w:color="auto" w:sz="4" w:space="0"/>
            </w:tcBorders>
            <w:vAlign w:val="center"/>
          </w:tcPr>
          <w:p w14:paraId="4BE41F3A">
            <w:pPr>
              <w:pStyle w:val="38"/>
              <w:keepNext w:val="0"/>
              <w:keepLines w:val="0"/>
              <w:pageBreakBefore w:val="0"/>
              <w:kinsoku/>
              <w:overflowPunct/>
              <w:topLinePunct w:val="0"/>
              <w:bidi w:val="0"/>
              <w:spacing w:beforeAutospacing="0" w:after="0" w:afterAutospacing="0" w:line="400" w:lineRule="exact"/>
              <w:ind w:left="480" w:firstLine="489"/>
              <w:jc w:val="center"/>
              <w:rPr>
                <w:rFonts w:ascii="宋体" w:eastAsia="宋体" w:cs="Times New Roman"/>
                <w:b/>
                <w:bCs/>
              </w:rPr>
            </w:pPr>
          </w:p>
        </w:tc>
      </w:tr>
      <w:tr w14:paraId="508AEE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4" w:hRule="atLeast"/>
          <w:jc w:val="center"/>
        </w:trPr>
        <w:tc>
          <w:tcPr>
            <w:tcW w:w="786" w:type="dxa"/>
            <w:tcBorders>
              <w:top w:val="single" w:color="auto" w:sz="4" w:space="0"/>
              <w:bottom w:val="single" w:color="auto" w:sz="4" w:space="0"/>
              <w:right w:val="single" w:color="auto" w:sz="4" w:space="0"/>
            </w:tcBorders>
            <w:vAlign w:val="center"/>
          </w:tcPr>
          <w:p w14:paraId="33080A1C">
            <w:pPr>
              <w:keepNext w:val="0"/>
              <w:keepLines w:val="0"/>
              <w:pageBreakBefore w:val="0"/>
              <w:kinsoku/>
              <w:overflowPunct/>
              <w:topLinePunct w:val="0"/>
              <w:bidi w:val="0"/>
              <w:spacing w:beforeAutospacing="0" w:after="0" w:afterAutospacing="0" w:line="400" w:lineRule="exact"/>
              <w:rPr>
                <w:rFonts w:ascii="宋体"/>
                <w:color w:val="000000"/>
                <w:sz w:val="24"/>
                <w:szCs w:val="24"/>
              </w:rPr>
            </w:pPr>
            <w:r>
              <w:rPr>
                <w:rFonts w:ascii="宋体" w:hAnsi="宋体" w:cs="宋体"/>
                <w:color w:val="000000"/>
                <w:sz w:val="24"/>
                <w:szCs w:val="24"/>
              </w:rPr>
              <w:t>1</w:t>
            </w:r>
          </w:p>
        </w:tc>
        <w:tc>
          <w:tcPr>
            <w:tcW w:w="1814" w:type="dxa"/>
            <w:tcBorders>
              <w:top w:val="single" w:color="auto" w:sz="4" w:space="0"/>
              <w:left w:val="single" w:color="auto" w:sz="4" w:space="0"/>
              <w:bottom w:val="single" w:color="auto" w:sz="4" w:space="0"/>
              <w:right w:val="single" w:color="auto" w:sz="4" w:space="0"/>
            </w:tcBorders>
            <w:vAlign w:val="center"/>
          </w:tcPr>
          <w:p w14:paraId="3A134AEB">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2628" w:type="dxa"/>
            <w:tcBorders>
              <w:top w:val="single" w:color="auto" w:sz="4" w:space="0"/>
              <w:left w:val="single" w:color="auto" w:sz="4" w:space="0"/>
              <w:right w:val="single" w:color="auto" w:sz="4" w:space="0"/>
            </w:tcBorders>
            <w:vAlign w:val="center"/>
          </w:tcPr>
          <w:p w14:paraId="3B2776C7">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1156" w:type="dxa"/>
            <w:tcBorders>
              <w:top w:val="single" w:color="auto" w:sz="4" w:space="0"/>
              <w:left w:val="single" w:color="auto" w:sz="4" w:space="0"/>
              <w:right w:val="single" w:color="auto" w:sz="4" w:space="0"/>
            </w:tcBorders>
            <w:vAlign w:val="center"/>
          </w:tcPr>
          <w:p w14:paraId="0596D42F">
            <w:pPr>
              <w:keepNext w:val="0"/>
              <w:keepLines w:val="0"/>
              <w:pageBreakBefore w:val="0"/>
              <w:kinsoku/>
              <w:overflowPunct/>
              <w:topLinePunct w:val="0"/>
              <w:bidi w:val="0"/>
              <w:spacing w:beforeAutospacing="0" w:after="0" w:afterAutospacing="0" w:line="400" w:lineRule="exact"/>
              <w:jc w:val="center"/>
              <w:rPr>
                <w:rFonts w:ascii="宋体"/>
                <w:color w:val="000000"/>
                <w:sz w:val="24"/>
                <w:szCs w:val="24"/>
              </w:rPr>
            </w:pPr>
          </w:p>
        </w:tc>
        <w:tc>
          <w:tcPr>
            <w:tcW w:w="2933" w:type="dxa"/>
            <w:tcBorders>
              <w:top w:val="single" w:color="auto" w:sz="4" w:space="0"/>
              <w:left w:val="single" w:color="auto" w:sz="4" w:space="0"/>
            </w:tcBorders>
            <w:vAlign w:val="center"/>
          </w:tcPr>
          <w:p w14:paraId="19206446">
            <w:pPr>
              <w:keepNext w:val="0"/>
              <w:keepLines w:val="0"/>
              <w:pageBreakBefore w:val="0"/>
              <w:kinsoku/>
              <w:overflowPunct/>
              <w:topLinePunct w:val="0"/>
              <w:bidi w:val="0"/>
              <w:spacing w:beforeAutospacing="0" w:after="0" w:afterAutospacing="0" w:line="400" w:lineRule="exact"/>
              <w:jc w:val="center"/>
              <w:rPr>
                <w:rFonts w:ascii="宋体"/>
                <w:color w:val="000000"/>
                <w:sz w:val="24"/>
                <w:szCs w:val="24"/>
              </w:rPr>
            </w:pPr>
            <w:r>
              <w:rPr>
                <w:rFonts w:hint="eastAsia" w:ascii="宋体" w:hAnsi="宋体" w:cs="宋体"/>
                <w:color w:val="000000"/>
                <w:sz w:val="24"/>
                <w:szCs w:val="24"/>
              </w:rPr>
              <w:t>详见资信商务及技术文件第几页</w:t>
            </w:r>
          </w:p>
        </w:tc>
      </w:tr>
      <w:tr w14:paraId="4F8AA4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46" w:hRule="atLeast"/>
          <w:jc w:val="center"/>
        </w:trPr>
        <w:tc>
          <w:tcPr>
            <w:tcW w:w="786" w:type="dxa"/>
            <w:tcBorders>
              <w:top w:val="single" w:color="auto" w:sz="4" w:space="0"/>
              <w:bottom w:val="single" w:color="auto" w:sz="4" w:space="0"/>
              <w:right w:val="single" w:color="auto" w:sz="4" w:space="0"/>
            </w:tcBorders>
            <w:vAlign w:val="center"/>
          </w:tcPr>
          <w:p w14:paraId="2A416FB5">
            <w:pPr>
              <w:keepNext w:val="0"/>
              <w:keepLines w:val="0"/>
              <w:pageBreakBefore w:val="0"/>
              <w:kinsoku/>
              <w:overflowPunct/>
              <w:topLinePunct w:val="0"/>
              <w:bidi w:val="0"/>
              <w:spacing w:beforeAutospacing="0" w:after="0" w:afterAutospacing="0" w:line="400" w:lineRule="exact"/>
              <w:rPr>
                <w:rFonts w:ascii="宋体"/>
                <w:color w:val="000000"/>
                <w:sz w:val="24"/>
                <w:szCs w:val="24"/>
              </w:rPr>
            </w:pPr>
            <w:r>
              <w:rPr>
                <w:rFonts w:ascii="宋体" w:hAnsi="宋体" w:cs="宋体"/>
                <w:color w:val="000000"/>
                <w:sz w:val="24"/>
                <w:szCs w:val="24"/>
              </w:rPr>
              <w:t>2</w:t>
            </w:r>
          </w:p>
        </w:tc>
        <w:tc>
          <w:tcPr>
            <w:tcW w:w="1814" w:type="dxa"/>
            <w:tcBorders>
              <w:top w:val="single" w:color="auto" w:sz="4" w:space="0"/>
              <w:left w:val="single" w:color="auto" w:sz="4" w:space="0"/>
              <w:bottom w:val="single" w:color="auto" w:sz="4" w:space="0"/>
              <w:right w:val="single" w:color="auto" w:sz="4" w:space="0"/>
            </w:tcBorders>
            <w:vAlign w:val="center"/>
          </w:tcPr>
          <w:p w14:paraId="38A14DFD">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2628" w:type="dxa"/>
            <w:tcBorders>
              <w:top w:val="single" w:color="auto" w:sz="4" w:space="0"/>
              <w:left w:val="single" w:color="auto" w:sz="4" w:space="0"/>
              <w:right w:val="single" w:color="auto" w:sz="4" w:space="0"/>
            </w:tcBorders>
            <w:vAlign w:val="center"/>
          </w:tcPr>
          <w:p w14:paraId="5C8942D8">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1156" w:type="dxa"/>
            <w:tcBorders>
              <w:top w:val="single" w:color="auto" w:sz="4" w:space="0"/>
              <w:left w:val="single" w:color="auto" w:sz="4" w:space="0"/>
              <w:right w:val="single" w:color="auto" w:sz="4" w:space="0"/>
            </w:tcBorders>
            <w:vAlign w:val="center"/>
          </w:tcPr>
          <w:p w14:paraId="1932F620">
            <w:pPr>
              <w:keepNext w:val="0"/>
              <w:keepLines w:val="0"/>
              <w:pageBreakBefore w:val="0"/>
              <w:kinsoku/>
              <w:overflowPunct/>
              <w:topLinePunct w:val="0"/>
              <w:bidi w:val="0"/>
              <w:spacing w:beforeAutospacing="0" w:after="0" w:afterAutospacing="0" w:line="400" w:lineRule="exact"/>
              <w:jc w:val="center"/>
              <w:rPr>
                <w:rFonts w:ascii="宋体"/>
                <w:color w:val="000000"/>
                <w:sz w:val="24"/>
                <w:szCs w:val="24"/>
              </w:rPr>
            </w:pPr>
          </w:p>
        </w:tc>
        <w:tc>
          <w:tcPr>
            <w:tcW w:w="2933" w:type="dxa"/>
            <w:tcBorders>
              <w:top w:val="single" w:color="auto" w:sz="4" w:space="0"/>
              <w:left w:val="single" w:color="auto" w:sz="4" w:space="0"/>
            </w:tcBorders>
            <w:vAlign w:val="center"/>
          </w:tcPr>
          <w:p w14:paraId="1619BC20">
            <w:pPr>
              <w:keepNext w:val="0"/>
              <w:keepLines w:val="0"/>
              <w:pageBreakBefore w:val="0"/>
              <w:kinsoku/>
              <w:overflowPunct/>
              <w:topLinePunct w:val="0"/>
              <w:bidi w:val="0"/>
              <w:spacing w:beforeAutospacing="0" w:after="0" w:afterAutospacing="0" w:line="400" w:lineRule="exact"/>
              <w:jc w:val="center"/>
              <w:rPr>
                <w:rFonts w:ascii="宋体"/>
                <w:color w:val="000000"/>
                <w:sz w:val="24"/>
                <w:szCs w:val="24"/>
              </w:rPr>
            </w:pPr>
            <w:r>
              <w:rPr>
                <w:rFonts w:hint="eastAsia" w:ascii="宋体" w:hAnsi="宋体" w:cs="宋体"/>
                <w:color w:val="000000"/>
                <w:sz w:val="24"/>
                <w:szCs w:val="24"/>
              </w:rPr>
              <w:t>……</w:t>
            </w:r>
          </w:p>
        </w:tc>
      </w:tr>
      <w:tr w14:paraId="47842D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2" w:hRule="atLeast"/>
          <w:jc w:val="center"/>
        </w:trPr>
        <w:tc>
          <w:tcPr>
            <w:tcW w:w="786" w:type="dxa"/>
            <w:tcBorders>
              <w:bottom w:val="single" w:color="auto" w:sz="4" w:space="0"/>
              <w:right w:val="single" w:color="auto" w:sz="4" w:space="0"/>
            </w:tcBorders>
            <w:vAlign w:val="center"/>
          </w:tcPr>
          <w:p w14:paraId="4D55DDDE">
            <w:pPr>
              <w:keepNext w:val="0"/>
              <w:keepLines w:val="0"/>
              <w:pageBreakBefore w:val="0"/>
              <w:kinsoku/>
              <w:overflowPunct/>
              <w:topLinePunct w:val="0"/>
              <w:bidi w:val="0"/>
              <w:spacing w:beforeAutospacing="0" w:after="0" w:afterAutospacing="0" w:line="400" w:lineRule="exact"/>
              <w:rPr>
                <w:rFonts w:ascii="宋体"/>
                <w:color w:val="000000"/>
                <w:sz w:val="24"/>
                <w:szCs w:val="24"/>
              </w:rPr>
            </w:pPr>
            <w:r>
              <w:rPr>
                <w:rFonts w:hint="eastAsia" w:ascii="宋体" w:hAnsi="宋体" w:cs="宋体"/>
                <w:color w:val="000000"/>
                <w:sz w:val="24"/>
                <w:szCs w:val="24"/>
              </w:rPr>
              <w:t>……</w:t>
            </w:r>
          </w:p>
        </w:tc>
        <w:tc>
          <w:tcPr>
            <w:tcW w:w="1814" w:type="dxa"/>
            <w:tcBorders>
              <w:left w:val="single" w:color="auto" w:sz="4" w:space="0"/>
              <w:bottom w:val="single" w:color="auto" w:sz="4" w:space="0"/>
              <w:right w:val="single" w:color="auto" w:sz="4" w:space="0"/>
            </w:tcBorders>
            <w:vAlign w:val="center"/>
          </w:tcPr>
          <w:p w14:paraId="64819A71">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5D2CF5F">
            <w:pPr>
              <w:keepNext w:val="0"/>
              <w:keepLines w:val="0"/>
              <w:pageBreakBefore w:val="0"/>
              <w:kinsoku/>
              <w:overflowPunct/>
              <w:topLinePunct w:val="0"/>
              <w:bidi w:val="0"/>
              <w:spacing w:beforeAutospacing="0" w:after="0" w:afterAutospacing="0" w:line="400" w:lineRule="exact"/>
              <w:ind w:left="54" w:leftChars="26"/>
              <w:rPr>
                <w:rFonts w:ascii="宋体"/>
                <w:color w:val="000000"/>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76C1422F">
            <w:pPr>
              <w:keepNext w:val="0"/>
              <w:keepLines w:val="0"/>
              <w:pageBreakBefore w:val="0"/>
              <w:kinsoku/>
              <w:overflowPunct/>
              <w:topLinePunct w:val="0"/>
              <w:bidi w:val="0"/>
              <w:spacing w:beforeAutospacing="0" w:after="0" w:afterAutospacing="0" w:line="400" w:lineRule="exact"/>
              <w:jc w:val="center"/>
              <w:rPr>
                <w:rFonts w:ascii="宋体"/>
                <w:color w:val="000000"/>
                <w:sz w:val="24"/>
                <w:szCs w:val="24"/>
              </w:rPr>
            </w:pPr>
          </w:p>
        </w:tc>
        <w:tc>
          <w:tcPr>
            <w:tcW w:w="2933" w:type="dxa"/>
            <w:tcBorders>
              <w:top w:val="single" w:color="auto" w:sz="4" w:space="0"/>
              <w:left w:val="single" w:color="auto" w:sz="4" w:space="0"/>
              <w:bottom w:val="single" w:color="auto" w:sz="4" w:space="0"/>
            </w:tcBorders>
            <w:vAlign w:val="center"/>
          </w:tcPr>
          <w:p w14:paraId="56541E87">
            <w:pPr>
              <w:keepNext w:val="0"/>
              <w:keepLines w:val="0"/>
              <w:pageBreakBefore w:val="0"/>
              <w:kinsoku/>
              <w:overflowPunct/>
              <w:topLinePunct w:val="0"/>
              <w:bidi w:val="0"/>
              <w:spacing w:beforeAutospacing="0" w:after="0" w:afterAutospacing="0" w:line="400" w:lineRule="exact"/>
              <w:jc w:val="center"/>
              <w:rPr>
                <w:rFonts w:ascii="宋体"/>
                <w:color w:val="000000"/>
                <w:sz w:val="24"/>
                <w:szCs w:val="24"/>
              </w:rPr>
            </w:pPr>
          </w:p>
        </w:tc>
      </w:tr>
      <w:tr w14:paraId="621749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8" w:hRule="atLeast"/>
          <w:jc w:val="center"/>
        </w:trPr>
        <w:tc>
          <w:tcPr>
            <w:tcW w:w="786" w:type="dxa"/>
            <w:tcBorders>
              <w:top w:val="single" w:color="auto" w:sz="4" w:space="0"/>
              <w:bottom w:val="single" w:color="auto" w:sz="4" w:space="0"/>
              <w:right w:val="single" w:color="auto" w:sz="4" w:space="0"/>
            </w:tcBorders>
            <w:vAlign w:val="center"/>
          </w:tcPr>
          <w:p w14:paraId="071DFC55">
            <w:pPr>
              <w:keepNext w:val="0"/>
              <w:keepLines w:val="0"/>
              <w:pageBreakBefore w:val="0"/>
              <w:kinsoku/>
              <w:overflowPunct/>
              <w:topLinePunct w:val="0"/>
              <w:bidi w:val="0"/>
              <w:spacing w:beforeAutospacing="0" w:after="0" w:afterAutospacing="0" w:line="400" w:lineRule="exact"/>
              <w:rPr>
                <w:rFonts w:ascii="宋体"/>
                <w:b/>
                <w:bCs/>
                <w:color w:val="000000"/>
                <w:sz w:val="24"/>
                <w:szCs w:val="24"/>
              </w:rPr>
            </w:pPr>
          </w:p>
        </w:tc>
        <w:tc>
          <w:tcPr>
            <w:tcW w:w="1814" w:type="dxa"/>
            <w:tcBorders>
              <w:top w:val="single" w:color="auto" w:sz="4" w:space="0"/>
              <w:left w:val="single" w:color="auto" w:sz="4" w:space="0"/>
              <w:bottom w:val="single" w:color="auto" w:sz="4" w:space="0"/>
              <w:right w:val="single" w:color="auto" w:sz="4" w:space="0"/>
            </w:tcBorders>
            <w:vAlign w:val="center"/>
          </w:tcPr>
          <w:p w14:paraId="6E813FA2">
            <w:pPr>
              <w:keepNext w:val="0"/>
              <w:keepLines w:val="0"/>
              <w:pageBreakBefore w:val="0"/>
              <w:kinsoku/>
              <w:overflowPunct/>
              <w:topLinePunct w:val="0"/>
              <w:bidi w:val="0"/>
              <w:spacing w:beforeAutospacing="0" w:after="0" w:afterAutospacing="0" w:line="400" w:lineRule="exact"/>
              <w:rPr>
                <w:rFonts w:ascii="宋体"/>
                <w:b/>
                <w:bCs/>
                <w:color w:val="000000"/>
                <w:sz w:val="24"/>
                <w:szCs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815EE35">
            <w:pPr>
              <w:pStyle w:val="38"/>
              <w:keepNext w:val="0"/>
              <w:keepLines w:val="0"/>
              <w:pageBreakBefore w:val="0"/>
              <w:kinsoku/>
              <w:overflowPunct/>
              <w:topLinePunct w:val="0"/>
              <w:bidi w:val="0"/>
              <w:spacing w:beforeAutospacing="0" w:after="0" w:afterAutospacing="0" w:line="400" w:lineRule="exact"/>
              <w:ind w:left="480" w:firstLine="489"/>
              <w:jc w:val="both"/>
              <w:rPr>
                <w:rFonts w:ascii="宋体" w:eastAsia="宋体" w:cs="Times New Roman"/>
                <w:b/>
                <w:bCs/>
              </w:rPr>
            </w:pPr>
          </w:p>
        </w:tc>
        <w:tc>
          <w:tcPr>
            <w:tcW w:w="1156" w:type="dxa"/>
            <w:tcBorders>
              <w:top w:val="single" w:color="auto" w:sz="4" w:space="0"/>
              <w:left w:val="single" w:color="auto" w:sz="4" w:space="0"/>
              <w:bottom w:val="single" w:color="auto" w:sz="4" w:space="0"/>
              <w:right w:val="single" w:color="auto" w:sz="4" w:space="0"/>
            </w:tcBorders>
            <w:vAlign w:val="center"/>
          </w:tcPr>
          <w:p w14:paraId="2E9EAFFE">
            <w:pPr>
              <w:pStyle w:val="38"/>
              <w:keepNext w:val="0"/>
              <w:keepLines w:val="0"/>
              <w:pageBreakBefore w:val="0"/>
              <w:kinsoku/>
              <w:overflowPunct/>
              <w:topLinePunct w:val="0"/>
              <w:bidi w:val="0"/>
              <w:spacing w:beforeAutospacing="0" w:after="0" w:afterAutospacing="0" w:line="400" w:lineRule="exact"/>
              <w:ind w:left="480" w:firstLine="489"/>
              <w:jc w:val="center"/>
              <w:rPr>
                <w:rFonts w:ascii="宋体" w:eastAsia="宋体" w:cs="Times New Roman"/>
                <w:b/>
                <w:bCs/>
              </w:rPr>
            </w:pPr>
          </w:p>
        </w:tc>
        <w:tc>
          <w:tcPr>
            <w:tcW w:w="2933" w:type="dxa"/>
            <w:tcBorders>
              <w:top w:val="single" w:color="auto" w:sz="4" w:space="0"/>
              <w:left w:val="single" w:color="auto" w:sz="4" w:space="0"/>
              <w:bottom w:val="single" w:color="auto" w:sz="4" w:space="0"/>
            </w:tcBorders>
            <w:vAlign w:val="center"/>
          </w:tcPr>
          <w:p w14:paraId="6AAA7117">
            <w:pPr>
              <w:pStyle w:val="38"/>
              <w:keepNext w:val="0"/>
              <w:keepLines w:val="0"/>
              <w:pageBreakBefore w:val="0"/>
              <w:kinsoku/>
              <w:overflowPunct/>
              <w:topLinePunct w:val="0"/>
              <w:bidi w:val="0"/>
              <w:spacing w:beforeAutospacing="0" w:after="0" w:afterAutospacing="0" w:line="400" w:lineRule="exact"/>
              <w:ind w:left="480" w:firstLine="489"/>
              <w:jc w:val="center"/>
              <w:rPr>
                <w:rFonts w:ascii="宋体" w:eastAsia="宋体" w:cs="Times New Roman"/>
                <w:b/>
                <w:bCs/>
              </w:rPr>
            </w:pPr>
          </w:p>
        </w:tc>
      </w:tr>
      <w:tr w14:paraId="5A4A81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jc w:val="center"/>
        </w:trPr>
        <w:tc>
          <w:tcPr>
            <w:tcW w:w="786" w:type="dxa"/>
            <w:tcBorders>
              <w:top w:val="single" w:color="auto" w:sz="4" w:space="0"/>
              <w:bottom w:val="single" w:color="auto" w:sz="4" w:space="0"/>
              <w:right w:val="single" w:color="auto" w:sz="4" w:space="0"/>
            </w:tcBorders>
            <w:vAlign w:val="center"/>
          </w:tcPr>
          <w:p w14:paraId="5EDEE079">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1814" w:type="dxa"/>
            <w:tcBorders>
              <w:top w:val="single" w:color="auto" w:sz="4" w:space="0"/>
              <w:left w:val="single" w:color="auto" w:sz="4" w:space="0"/>
              <w:bottom w:val="single" w:color="auto" w:sz="4" w:space="0"/>
              <w:right w:val="single" w:color="auto" w:sz="4" w:space="0"/>
            </w:tcBorders>
            <w:vAlign w:val="center"/>
          </w:tcPr>
          <w:p w14:paraId="39871BB3">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AE9516A">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4A1C8AB9">
            <w:pPr>
              <w:pStyle w:val="38"/>
              <w:keepNext w:val="0"/>
              <w:keepLines w:val="0"/>
              <w:pageBreakBefore w:val="0"/>
              <w:kinsoku/>
              <w:overflowPunct/>
              <w:topLinePunct w:val="0"/>
              <w:bidi w:val="0"/>
              <w:spacing w:beforeAutospacing="0" w:after="0" w:afterAutospacing="0" w:line="400" w:lineRule="exact"/>
              <w:ind w:left="480"/>
              <w:jc w:val="center"/>
              <w:rPr>
                <w:rFonts w:ascii="宋体" w:eastAsia="宋体" w:cs="Times New Roman"/>
              </w:rPr>
            </w:pPr>
          </w:p>
        </w:tc>
        <w:tc>
          <w:tcPr>
            <w:tcW w:w="2933" w:type="dxa"/>
            <w:tcBorders>
              <w:top w:val="single" w:color="auto" w:sz="4" w:space="0"/>
              <w:left w:val="single" w:color="auto" w:sz="4" w:space="0"/>
              <w:bottom w:val="single" w:color="auto" w:sz="4" w:space="0"/>
            </w:tcBorders>
            <w:vAlign w:val="center"/>
          </w:tcPr>
          <w:p w14:paraId="3F6CF552">
            <w:pPr>
              <w:keepNext w:val="0"/>
              <w:keepLines w:val="0"/>
              <w:pageBreakBefore w:val="0"/>
              <w:kinsoku/>
              <w:overflowPunct/>
              <w:topLinePunct w:val="0"/>
              <w:bidi w:val="0"/>
              <w:spacing w:beforeAutospacing="0" w:after="0" w:afterAutospacing="0" w:line="400" w:lineRule="exact"/>
              <w:jc w:val="center"/>
              <w:rPr>
                <w:rFonts w:ascii="宋体"/>
                <w:color w:val="000000"/>
                <w:sz w:val="24"/>
                <w:szCs w:val="24"/>
              </w:rPr>
            </w:pPr>
            <w:r>
              <w:rPr>
                <w:rFonts w:hint="eastAsia" w:ascii="宋体" w:hAnsi="宋体" w:cs="宋体"/>
                <w:color w:val="000000"/>
                <w:sz w:val="24"/>
                <w:szCs w:val="24"/>
              </w:rPr>
              <w:t>详见资信商务及技术文件第几页</w:t>
            </w:r>
          </w:p>
        </w:tc>
      </w:tr>
      <w:tr w14:paraId="368AF7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jc w:val="center"/>
        </w:trPr>
        <w:tc>
          <w:tcPr>
            <w:tcW w:w="786" w:type="dxa"/>
            <w:tcBorders>
              <w:top w:val="single" w:color="auto" w:sz="4" w:space="0"/>
              <w:bottom w:val="single" w:color="auto" w:sz="4" w:space="0"/>
              <w:right w:val="single" w:color="auto" w:sz="4" w:space="0"/>
            </w:tcBorders>
            <w:vAlign w:val="center"/>
          </w:tcPr>
          <w:p w14:paraId="39DD775F">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1814" w:type="dxa"/>
            <w:tcBorders>
              <w:top w:val="single" w:color="auto" w:sz="4" w:space="0"/>
              <w:left w:val="single" w:color="auto" w:sz="4" w:space="0"/>
              <w:bottom w:val="single" w:color="auto" w:sz="4" w:space="0"/>
              <w:right w:val="single" w:color="auto" w:sz="4" w:space="0"/>
            </w:tcBorders>
            <w:vAlign w:val="center"/>
          </w:tcPr>
          <w:p w14:paraId="1AB11B25">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000C6AA">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1FDAA038">
            <w:pPr>
              <w:pStyle w:val="38"/>
              <w:keepNext w:val="0"/>
              <w:keepLines w:val="0"/>
              <w:pageBreakBefore w:val="0"/>
              <w:kinsoku/>
              <w:overflowPunct/>
              <w:topLinePunct w:val="0"/>
              <w:bidi w:val="0"/>
              <w:spacing w:beforeAutospacing="0" w:after="0" w:afterAutospacing="0" w:line="400" w:lineRule="exact"/>
              <w:ind w:left="480"/>
              <w:jc w:val="center"/>
              <w:rPr>
                <w:rFonts w:ascii="宋体" w:eastAsia="宋体" w:cs="Times New Roman"/>
              </w:rPr>
            </w:pPr>
          </w:p>
        </w:tc>
        <w:tc>
          <w:tcPr>
            <w:tcW w:w="2933" w:type="dxa"/>
            <w:tcBorders>
              <w:top w:val="single" w:color="auto" w:sz="4" w:space="0"/>
              <w:left w:val="single" w:color="auto" w:sz="4" w:space="0"/>
              <w:bottom w:val="single" w:color="auto" w:sz="4" w:space="0"/>
            </w:tcBorders>
            <w:vAlign w:val="center"/>
          </w:tcPr>
          <w:p w14:paraId="7DB85224">
            <w:pPr>
              <w:pStyle w:val="38"/>
              <w:keepNext w:val="0"/>
              <w:keepLines w:val="0"/>
              <w:pageBreakBefore w:val="0"/>
              <w:kinsoku/>
              <w:overflowPunct/>
              <w:topLinePunct w:val="0"/>
              <w:bidi w:val="0"/>
              <w:spacing w:beforeAutospacing="0" w:after="0" w:afterAutospacing="0" w:line="400" w:lineRule="exact"/>
              <w:ind w:left="480"/>
              <w:jc w:val="center"/>
              <w:rPr>
                <w:rFonts w:ascii="宋体" w:eastAsia="宋体" w:cs="Times New Roman"/>
              </w:rPr>
            </w:pPr>
            <w:r>
              <w:rPr>
                <w:rFonts w:hint="eastAsia" w:ascii="宋体" w:eastAsia="宋体" w:cs="宋体"/>
              </w:rPr>
              <w:t>……</w:t>
            </w:r>
          </w:p>
        </w:tc>
      </w:tr>
      <w:tr w14:paraId="3CE4B1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jc w:val="center"/>
        </w:trPr>
        <w:tc>
          <w:tcPr>
            <w:tcW w:w="786" w:type="dxa"/>
            <w:tcBorders>
              <w:top w:val="single" w:color="auto" w:sz="4" w:space="0"/>
              <w:bottom w:val="single" w:color="auto" w:sz="4" w:space="0"/>
              <w:right w:val="single" w:color="auto" w:sz="4" w:space="0"/>
            </w:tcBorders>
            <w:vAlign w:val="center"/>
          </w:tcPr>
          <w:p w14:paraId="365BA895">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1814" w:type="dxa"/>
            <w:tcBorders>
              <w:top w:val="single" w:color="auto" w:sz="4" w:space="0"/>
              <w:left w:val="single" w:color="auto" w:sz="4" w:space="0"/>
              <w:bottom w:val="single" w:color="auto" w:sz="4" w:space="0"/>
              <w:right w:val="single" w:color="auto" w:sz="4" w:space="0"/>
            </w:tcBorders>
            <w:vAlign w:val="center"/>
          </w:tcPr>
          <w:p w14:paraId="73FB48B4">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0F2E60F">
            <w:pPr>
              <w:keepNext w:val="0"/>
              <w:keepLines w:val="0"/>
              <w:pageBreakBefore w:val="0"/>
              <w:kinsoku/>
              <w:overflowPunct/>
              <w:topLinePunct w:val="0"/>
              <w:bidi w:val="0"/>
              <w:spacing w:beforeAutospacing="0" w:after="0" w:afterAutospacing="0" w:line="400" w:lineRule="exact"/>
              <w:rPr>
                <w:rFonts w:ascii="宋体"/>
                <w:color w:val="000000"/>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79C6CB34">
            <w:pPr>
              <w:pStyle w:val="38"/>
              <w:keepNext w:val="0"/>
              <w:keepLines w:val="0"/>
              <w:pageBreakBefore w:val="0"/>
              <w:kinsoku/>
              <w:overflowPunct/>
              <w:topLinePunct w:val="0"/>
              <w:bidi w:val="0"/>
              <w:spacing w:beforeAutospacing="0" w:after="0" w:afterAutospacing="0" w:line="400" w:lineRule="exact"/>
              <w:ind w:left="480"/>
              <w:jc w:val="center"/>
              <w:rPr>
                <w:rFonts w:ascii="宋体" w:eastAsia="宋体" w:cs="Times New Roman"/>
              </w:rPr>
            </w:pPr>
          </w:p>
        </w:tc>
        <w:tc>
          <w:tcPr>
            <w:tcW w:w="2933" w:type="dxa"/>
            <w:tcBorders>
              <w:top w:val="single" w:color="auto" w:sz="4" w:space="0"/>
              <w:left w:val="single" w:color="auto" w:sz="4" w:space="0"/>
              <w:bottom w:val="single" w:color="auto" w:sz="4" w:space="0"/>
            </w:tcBorders>
            <w:vAlign w:val="center"/>
          </w:tcPr>
          <w:p w14:paraId="10FA9A85">
            <w:pPr>
              <w:pStyle w:val="38"/>
              <w:keepNext w:val="0"/>
              <w:keepLines w:val="0"/>
              <w:pageBreakBefore w:val="0"/>
              <w:kinsoku/>
              <w:overflowPunct/>
              <w:topLinePunct w:val="0"/>
              <w:bidi w:val="0"/>
              <w:spacing w:beforeAutospacing="0" w:after="0" w:afterAutospacing="0" w:line="400" w:lineRule="exact"/>
              <w:ind w:left="480"/>
              <w:jc w:val="center"/>
              <w:rPr>
                <w:rFonts w:ascii="宋体" w:eastAsia="宋体" w:cs="Times New Roman"/>
              </w:rPr>
            </w:pPr>
          </w:p>
        </w:tc>
      </w:tr>
    </w:tbl>
    <w:p w14:paraId="591A0E95">
      <w:pPr>
        <w:keepNext w:val="0"/>
        <w:keepLines w:val="0"/>
        <w:pageBreakBefore w:val="0"/>
        <w:kinsoku/>
        <w:overflowPunct/>
        <w:topLinePunct w:val="0"/>
        <w:bidi w:val="0"/>
        <w:snapToGrid w:val="0"/>
        <w:spacing w:beforeAutospacing="0" w:after="0" w:afterAutospacing="0" w:line="400" w:lineRule="exact"/>
        <w:rPr>
          <w:rFonts w:ascii="宋体"/>
          <w:color w:val="000000"/>
          <w:sz w:val="24"/>
          <w:szCs w:val="24"/>
        </w:rPr>
      </w:pPr>
      <w:r>
        <w:rPr>
          <w:rFonts w:hint="eastAsia" w:ascii="宋体" w:hAnsi="宋体" w:cs="宋体"/>
          <w:color w:val="000000"/>
          <w:sz w:val="24"/>
          <w:szCs w:val="24"/>
        </w:rPr>
        <w:t>注：投标单位根据所投标项的评分表内容，按此格式提供并置于资信商务及技术文件第</w:t>
      </w:r>
      <w:r>
        <w:rPr>
          <w:rFonts w:ascii="宋体" w:hAnsi="宋体" w:cs="宋体"/>
          <w:color w:val="000000"/>
          <w:sz w:val="24"/>
          <w:szCs w:val="24"/>
        </w:rPr>
        <w:t>1</w:t>
      </w:r>
      <w:r>
        <w:rPr>
          <w:rFonts w:hint="eastAsia" w:ascii="宋体" w:hAnsi="宋体" w:cs="宋体"/>
          <w:color w:val="000000"/>
          <w:sz w:val="24"/>
          <w:szCs w:val="24"/>
        </w:rPr>
        <w:t>页。</w:t>
      </w:r>
    </w:p>
    <w:p w14:paraId="5BA44870">
      <w:pPr>
        <w:keepNext w:val="0"/>
        <w:keepLines w:val="0"/>
        <w:pageBreakBefore w:val="0"/>
        <w:kinsoku/>
        <w:overflowPunct/>
        <w:topLinePunct w:val="0"/>
        <w:bidi w:val="0"/>
        <w:snapToGrid w:val="0"/>
        <w:spacing w:beforeAutospacing="0" w:after="0" w:afterAutospacing="0"/>
        <w:jc w:val="left"/>
        <w:rPr>
          <w:rFonts w:ascii="宋体"/>
          <w:b/>
          <w:bCs/>
          <w:sz w:val="24"/>
          <w:szCs w:val="24"/>
        </w:rPr>
      </w:pPr>
    </w:p>
    <w:p w14:paraId="2618E297">
      <w:pPr>
        <w:keepNext w:val="0"/>
        <w:keepLines w:val="0"/>
        <w:pageBreakBefore w:val="0"/>
        <w:kinsoku/>
        <w:overflowPunct/>
        <w:topLinePunct w:val="0"/>
        <w:bidi w:val="0"/>
        <w:spacing w:beforeAutospacing="0" w:after="0" w:afterAutospacing="0"/>
        <w:jc w:val="left"/>
      </w:pPr>
    </w:p>
    <w:p w14:paraId="2CB03304">
      <w:pPr>
        <w:keepNext w:val="0"/>
        <w:keepLines w:val="0"/>
        <w:pageBreakBefore w:val="0"/>
        <w:kinsoku/>
        <w:overflowPunct/>
        <w:topLinePunct w:val="0"/>
        <w:bidi w:val="0"/>
        <w:spacing w:beforeAutospacing="0" w:after="0" w:afterAutospacing="0"/>
        <w:jc w:val="left"/>
      </w:pPr>
    </w:p>
    <w:p w14:paraId="35394383">
      <w:pPr>
        <w:keepNext w:val="0"/>
        <w:keepLines w:val="0"/>
        <w:pageBreakBefore w:val="0"/>
        <w:kinsoku/>
        <w:overflowPunct/>
        <w:topLinePunct w:val="0"/>
        <w:bidi w:val="0"/>
        <w:spacing w:beforeAutospacing="0" w:after="0" w:afterAutospacing="0"/>
        <w:sectPr>
          <w:headerReference r:id="rId11" w:type="default"/>
          <w:footerReference r:id="rId12" w:type="default"/>
          <w:pgSz w:w="11906" w:h="16838"/>
          <w:pgMar w:top="1417" w:right="1531" w:bottom="1417" w:left="1531" w:header="283"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14:paraId="0866CF93">
      <w:pPr>
        <w:keepNext w:val="0"/>
        <w:keepLines w:val="0"/>
        <w:pageBreakBefore w:val="0"/>
        <w:kinsoku/>
        <w:overflowPunct/>
        <w:topLinePunct w:val="0"/>
        <w:bidi w:val="0"/>
        <w:snapToGrid w:val="0"/>
        <w:spacing w:beforeAutospacing="0" w:after="0" w:afterAutospacing="0" w:line="360" w:lineRule="auto"/>
        <w:jc w:val="left"/>
        <w:outlineLvl w:val="2"/>
        <w:rPr>
          <w:rFonts w:ascii="宋体"/>
          <w:b/>
          <w:bCs/>
          <w:color w:val="0D0D0D"/>
          <w:sz w:val="24"/>
          <w:szCs w:val="24"/>
        </w:rPr>
      </w:pPr>
      <w:r>
        <w:rPr>
          <w:rFonts w:ascii="宋体" w:hAnsi="宋体" w:cs="宋体"/>
          <w:b/>
          <w:bCs/>
          <w:color w:val="0D0D0D"/>
          <w:sz w:val="24"/>
          <w:szCs w:val="24"/>
        </w:rPr>
        <w:t>2.2</w:t>
      </w:r>
      <w:r>
        <w:rPr>
          <w:rFonts w:hint="eastAsia" w:ascii="宋体" w:hAnsi="宋体" w:cs="宋体"/>
          <w:b/>
          <w:bCs/>
          <w:color w:val="0D0D0D"/>
          <w:sz w:val="24"/>
          <w:szCs w:val="24"/>
        </w:rPr>
        <w:t>投标声明书格式：</w:t>
      </w:r>
    </w:p>
    <w:p w14:paraId="20F4CB19">
      <w:pPr>
        <w:keepNext w:val="0"/>
        <w:keepLines w:val="0"/>
        <w:pageBreakBefore w:val="0"/>
        <w:kinsoku/>
        <w:overflowPunct/>
        <w:topLinePunct w:val="0"/>
        <w:bidi w:val="0"/>
        <w:snapToGrid w:val="0"/>
        <w:spacing w:beforeAutospacing="0" w:after="0" w:afterAutospacing="0" w:line="360" w:lineRule="auto"/>
        <w:jc w:val="center"/>
        <w:rPr>
          <w:rFonts w:ascii="宋体"/>
          <w:b/>
          <w:bCs/>
          <w:color w:val="0D0D0D"/>
          <w:sz w:val="24"/>
          <w:szCs w:val="24"/>
        </w:rPr>
      </w:pPr>
      <w:r>
        <w:rPr>
          <w:rFonts w:hint="eastAsia" w:ascii="宋体" w:hAnsi="宋体" w:cs="宋体"/>
          <w:b/>
          <w:bCs/>
          <w:color w:val="0D0D0D"/>
          <w:sz w:val="24"/>
          <w:szCs w:val="24"/>
        </w:rPr>
        <w:t>投标声明书</w:t>
      </w:r>
    </w:p>
    <w:p w14:paraId="2E4C6B45">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致：</w:t>
      </w:r>
      <w:r>
        <w:rPr>
          <w:rFonts w:ascii="宋体" w:hAnsi="宋体" w:cs="宋体"/>
          <w:color w:val="0D0D0D"/>
          <w:sz w:val="24"/>
          <w:szCs w:val="24"/>
          <w:u w:val="single"/>
        </w:rPr>
        <w:t>_</w:t>
      </w:r>
      <w:r>
        <w:rPr>
          <w:rFonts w:hint="eastAsia" w:ascii="宋体" w:hAnsi="宋体" w:cs="宋体"/>
          <w:color w:val="0D0D0D"/>
          <w:sz w:val="24"/>
          <w:szCs w:val="24"/>
          <w:u w:val="single"/>
        </w:rPr>
        <w:t>金华市金诚招投标代理有限公司</w:t>
      </w:r>
      <w:r>
        <w:rPr>
          <w:rFonts w:ascii="宋体" w:hAnsi="宋体" w:cs="宋体"/>
          <w:color w:val="0D0D0D"/>
          <w:sz w:val="24"/>
          <w:szCs w:val="24"/>
          <w:u w:val="single"/>
        </w:rPr>
        <w:t>_</w:t>
      </w:r>
      <w:r>
        <w:rPr>
          <w:rFonts w:hint="eastAsia" w:ascii="宋体" w:hAnsi="宋体" w:cs="宋体"/>
          <w:color w:val="0D0D0D"/>
          <w:sz w:val="24"/>
          <w:szCs w:val="24"/>
        </w:rPr>
        <w:t>：</w:t>
      </w:r>
    </w:p>
    <w:p w14:paraId="3DA9C701">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u w:val="single"/>
        </w:rPr>
      </w:pPr>
      <w:r>
        <w:rPr>
          <w:rFonts w:hint="eastAsia" w:ascii="宋体" w:hAnsi="宋体" w:cs="宋体"/>
          <w:color w:val="0D0D0D"/>
          <w:sz w:val="24"/>
          <w:szCs w:val="24"/>
          <w:u w:val="single"/>
        </w:rPr>
        <w:t>（投标人名称）</w:t>
      </w:r>
      <w:r>
        <w:rPr>
          <w:rFonts w:hint="eastAsia" w:ascii="宋体" w:hAnsi="宋体" w:cs="宋体"/>
          <w:color w:val="0D0D0D"/>
          <w:sz w:val="24"/>
          <w:szCs w:val="24"/>
        </w:rPr>
        <w:t>系中华人民共和国合法企业，经营地址。我</w:t>
      </w:r>
      <w:r>
        <w:rPr>
          <w:rFonts w:ascii="宋体" w:hAnsi="宋体" w:cs="宋体"/>
          <w:color w:val="0D0D0D"/>
          <w:sz w:val="24"/>
          <w:szCs w:val="24"/>
          <w:u w:val="single"/>
        </w:rPr>
        <w:t xml:space="preserve">_      </w:t>
      </w:r>
      <w:r>
        <w:rPr>
          <w:rFonts w:hint="eastAsia" w:ascii="宋体" w:hAnsi="宋体" w:cs="宋体"/>
          <w:color w:val="0D0D0D"/>
          <w:sz w:val="24"/>
          <w:szCs w:val="24"/>
          <w:u w:val="single"/>
        </w:rPr>
        <w:t>（姓名）</w:t>
      </w:r>
      <w:r>
        <w:rPr>
          <w:rFonts w:hint="eastAsia" w:ascii="宋体" w:hAnsi="宋体" w:cs="宋体"/>
          <w:color w:val="0D0D0D"/>
          <w:sz w:val="24"/>
          <w:szCs w:val="24"/>
        </w:rPr>
        <w:t>系</w:t>
      </w:r>
      <w:r>
        <w:rPr>
          <w:rFonts w:ascii="宋体" w:hAnsi="宋体" w:cs="宋体"/>
          <w:color w:val="0D0D0D"/>
          <w:sz w:val="24"/>
          <w:szCs w:val="24"/>
          <w:u w:val="single"/>
        </w:rPr>
        <w:t xml:space="preserve">__      </w:t>
      </w:r>
      <w:r>
        <w:rPr>
          <w:rFonts w:hint="eastAsia" w:ascii="宋体" w:hAnsi="宋体" w:cs="宋体"/>
          <w:color w:val="0D0D0D"/>
          <w:sz w:val="24"/>
          <w:szCs w:val="24"/>
          <w:u w:val="single"/>
        </w:rPr>
        <w:t>（投标人名称）</w:t>
      </w:r>
      <w:r>
        <w:rPr>
          <w:rFonts w:hint="eastAsia" w:ascii="宋体" w:hAnsi="宋体" w:cs="宋体"/>
          <w:color w:val="0D0D0D"/>
          <w:sz w:val="24"/>
          <w:szCs w:val="24"/>
        </w:rPr>
        <w:t>的法定代表人，我方愿意参加贵方组织的</w:t>
      </w:r>
      <w:r>
        <w:rPr>
          <w:rFonts w:hint="eastAsia" w:ascii="宋体" w:hAnsi="宋体" w:cs="宋体"/>
          <w:color w:val="000000"/>
          <w:sz w:val="24"/>
          <w:szCs w:val="24"/>
          <w:u w:val="single"/>
        </w:rPr>
        <w:t>东阳剧院舞台灯光系统建设更新项目</w:t>
      </w:r>
      <w:r>
        <w:rPr>
          <w:rFonts w:hint="eastAsia" w:hAnsi="宋体" w:cs="宋体"/>
          <w:sz w:val="24"/>
          <w:szCs w:val="24"/>
        </w:rPr>
        <w:t>的投</w:t>
      </w:r>
      <w:r>
        <w:rPr>
          <w:rFonts w:hint="eastAsia" w:ascii="宋体" w:hAnsi="宋体" w:cs="宋体"/>
          <w:color w:val="0D0D0D"/>
          <w:sz w:val="24"/>
          <w:szCs w:val="24"/>
        </w:rPr>
        <w:t>标，为便于贵方公正、择优地确定中标人，我方就本次投标有关事项郑重声明如下：</w:t>
      </w:r>
    </w:p>
    <w:p w14:paraId="0A210E2F">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rPr>
      </w:pPr>
      <w:r>
        <w:rPr>
          <w:rFonts w:ascii="宋体" w:hAnsi="宋体" w:cs="宋体"/>
          <w:color w:val="0D0D0D"/>
          <w:sz w:val="24"/>
          <w:szCs w:val="24"/>
        </w:rPr>
        <w:t>1</w:t>
      </w:r>
      <w:r>
        <w:rPr>
          <w:rFonts w:ascii="宋体" w:cs="宋体"/>
          <w:color w:val="0D0D0D"/>
          <w:sz w:val="24"/>
          <w:szCs w:val="24"/>
        </w:rPr>
        <w:t>.</w:t>
      </w:r>
      <w:r>
        <w:rPr>
          <w:rFonts w:hint="eastAsia" w:ascii="宋体" w:hAnsi="宋体" w:cs="宋体"/>
          <w:color w:val="0D0D0D"/>
          <w:sz w:val="24"/>
          <w:szCs w:val="24"/>
        </w:rPr>
        <w:t>我方向贵方提交的所有投标文件、资料都是准确的和真实的。</w:t>
      </w:r>
    </w:p>
    <w:p w14:paraId="31870CE0">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rPr>
      </w:pPr>
      <w:r>
        <w:rPr>
          <w:rFonts w:ascii="宋体" w:hAnsi="宋体" w:cs="宋体"/>
          <w:color w:val="0D0D0D"/>
          <w:sz w:val="24"/>
          <w:szCs w:val="24"/>
        </w:rPr>
        <w:t>2</w:t>
      </w:r>
      <w:r>
        <w:rPr>
          <w:rFonts w:ascii="宋体" w:cs="宋体"/>
          <w:color w:val="0D0D0D"/>
          <w:sz w:val="24"/>
          <w:szCs w:val="24"/>
        </w:rPr>
        <w:t>.</w:t>
      </w:r>
      <w:r>
        <w:rPr>
          <w:rFonts w:hint="eastAsia" w:ascii="宋体" w:hAnsi="宋体" w:cs="宋体"/>
          <w:color w:val="0D0D0D"/>
          <w:sz w:val="24"/>
          <w:szCs w:val="24"/>
        </w:rPr>
        <w:t>我方不是采购人的附属机构，在获知本项目采购信息后，与采购人聘请的为此项目提供咨询服务的公司及其附属机构没有任何联系。</w:t>
      </w:r>
    </w:p>
    <w:p w14:paraId="18136B6B">
      <w:pPr>
        <w:pStyle w:val="8"/>
        <w:keepNext w:val="0"/>
        <w:keepLines w:val="0"/>
        <w:pageBreakBefore w:val="0"/>
        <w:kinsoku/>
        <w:overflowPunct/>
        <w:topLinePunct w:val="0"/>
        <w:bidi w:val="0"/>
        <w:snapToGrid w:val="0"/>
        <w:spacing w:beforeAutospacing="0" w:after="0" w:afterAutospacing="0" w:line="360" w:lineRule="auto"/>
        <w:ind w:firstLine="464" w:firstLineChars="200"/>
        <w:rPr>
          <w:rFonts w:hAnsi="宋体" w:cs="Times New Roman"/>
          <w:color w:val="0D0D0D"/>
          <w:sz w:val="24"/>
          <w:szCs w:val="24"/>
        </w:rPr>
      </w:pPr>
      <w:r>
        <w:rPr>
          <w:rFonts w:hAnsi="宋体"/>
          <w:sz w:val="24"/>
          <w:szCs w:val="24"/>
        </w:rPr>
        <w:t>3</w:t>
      </w:r>
      <w:r>
        <w:rPr>
          <w:sz w:val="24"/>
          <w:szCs w:val="24"/>
        </w:rPr>
        <w:t>.</w:t>
      </w:r>
      <w:r>
        <w:rPr>
          <w:rFonts w:hint="eastAsia" w:hAnsi="宋体"/>
          <w:color w:val="0D0D0D"/>
          <w:sz w:val="24"/>
          <w:szCs w:val="24"/>
        </w:rPr>
        <w:t>我方及由本人担任法定代表人的其他机构最近三年内被通报、被处罚的违法行为或者可认定为不良行为的有：</w:t>
      </w:r>
    </w:p>
    <w:p w14:paraId="115CB285">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u w:val="single"/>
        </w:rPr>
      </w:pPr>
      <w:r>
        <w:rPr>
          <w:rFonts w:hint="eastAsia" w:ascii="宋体" w:hAnsi="宋体" w:cs="宋体"/>
          <w:color w:val="0D0D0D"/>
          <w:sz w:val="24"/>
          <w:szCs w:val="24"/>
          <w:u w:val="single"/>
        </w:rPr>
        <w:t>　　　　　　　　　　　　　　　　　　　　　　　　　　　</w:t>
      </w:r>
    </w:p>
    <w:p w14:paraId="27330D20">
      <w:pPr>
        <w:keepNext w:val="0"/>
        <w:keepLines w:val="0"/>
        <w:pageBreakBefore w:val="0"/>
        <w:kinsoku/>
        <w:overflowPunct/>
        <w:topLinePunct w:val="0"/>
        <w:bidi w:val="0"/>
        <w:snapToGrid w:val="0"/>
        <w:spacing w:beforeAutospacing="0" w:after="0" w:afterAutospacing="0" w:line="360" w:lineRule="auto"/>
        <w:ind w:firstLine="464" w:firstLineChars="200"/>
        <w:rPr>
          <w:rFonts w:hAnsi="宋体"/>
          <w:sz w:val="24"/>
          <w:szCs w:val="24"/>
        </w:rPr>
      </w:pPr>
      <w:r>
        <w:rPr>
          <w:rFonts w:hint="eastAsia" w:ascii="宋体" w:hAnsi="宋体" w:cs="宋体"/>
          <w:color w:val="0D0D0D"/>
          <w:spacing w:val="-4"/>
          <w:sz w:val="24"/>
          <w:szCs w:val="24"/>
        </w:rPr>
        <w:t>4</w:t>
      </w:r>
      <w:r>
        <w:rPr>
          <w:rFonts w:ascii="宋体" w:cs="宋体"/>
          <w:color w:val="0D0D0D"/>
          <w:spacing w:val="-4"/>
          <w:sz w:val="24"/>
          <w:szCs w:val="24"/>
        </w:rPr>
        <w:t>.</w:t>
      </w:r>
      <w:r>
        <w:rPr>
          <w:rFonts w:hint="eastAsia" w:ascii="宋体" w:hAnsi="宋体" w:cs="宋体"/>
          <w:color w:val="0D0D0D"/>
          <w:spacing w:val="-4"/>
          <w:sz w:val="24"/>
          <w:szCs w:val="24"/>
        </w:rPr>
        <w:t>以上事项如有虚假或隐瞒，我方愿意承担一切后果，并不再寻求任何旨在减轻或免除法律责任的辩解。</w:t>
      </w:r>
    </w:p>
    <w:p w14:paraId="20B5F824">
      <w:pPr>
        <w:keepNext w:val="0"/>
        <w:keepLines w:val="0"/>
        <w:pageBreakBefore w:val="0"/>
        <w:kinsoku/>
        <w:overflowPunct/>
        <w:topLinePunct w:val="0"/>
        <w:bidi w:val="0"/>
        <w:snapToGrid w:val="0"/>
        <w:spacing w:beforeAutospacing="0" w:after="0" w:afterAutospacing="0" w:line="360" w:lineRule="auto"/>
        <w:ind w:firstLine="319" w:firstLineChars="133"/>
        <w:rPr>
          <w:rFonts w:ascii="宋体"/>
          <w:sz w:val="24"/>
          <w:szCs w:val="24"/>
          <w:u w:val="single"/>
        </w:rPr>
      </w:pPr>
      <w:r>
        <w:rPr>
          <w:rFonts w:hint="eastAsia" w:ascii="宋体" w:hAnsi="宋体" w:cs="宋体"/>
          <w:sz w:val="24"/>
          <w:szCs w:val="24"/>
        </w:rPr>
        <w:t>法定代表人或授权代表签字：</w:t>
      </w:r>
    </w:p>
    <w:p w14:paraId="159E0FAD">
      <w:pPr>
        <w:keepNext w:val="0"/>
        <w:keepLines w:val="0"/>
        <w:pageBreakBefore w:val="0"/>
        <w:kinsoku/>
        <w:overflowPunct/>
        <w:topLinePunct w:val="0"/>
        <w:bidi w:val="0"/>
        <w:snapToGrid w:val="0"/>
        <w:spacing w:beforeAutospacing="0" w:after="0" w:afterAutospacing="0"/>
        <w:ind w:firstLine="360" w:firstLineChars="150"/>
        <w:rPr>
          <w:rFonts w:ascii="宋体"/>
          <w:sz w:val="24"/>
          <w:szCs w:val="24"/>
        </w:rPr>
      </w:pPr>
      <w:r>
        <w:rPr>
          <w:rFonts w:hint="eastAsia" w:ascii="宋体" w:hAnsi="宋体" w:cs="宋体"/>
          <w:sz w:val="24"/>
          <w:szCs w:val="24"/>
        </w:rPr>
        <w:t>投标人公章：</w:t>
      </w:r>
    </w:p>
    <w:p w14:paraId="72AA13C0">
      <w:pPr>
        <w:keepNext w:val="0"/>
        <w:keepLines w:val="0"/>
        <w:pageBreakBefore w:val="0"/>
        <w:kinsoku/>
        <w:overflowPunct/>
        <w:topLinePunct w:val="0"/>
        <w:bidi w:val="0"/>
        <w:snapToGrid w:val="0"/>
        <w:spacing w:beforeAutospacing="0" w:after="0" w:afterAutospacing="0" w:line="360" w:lineRule="auto"/>
        <w:ind w:firstLine="5040" w:firstLineChars="2100"/>
        <w:jc w:val="left"/>
        <w:outlineLvl w:val="2"/>
        <w:rPr>
          <w:rFonts w:ascii="宋体"/>
          <w:b/>
          <w:bCs/>
          <w:color w:val="0D0D0D"/>
          <w:sz w:val="24"/>
          <w:szCs w:val="24"/>
        </w:rPr>
      </w:pPr>
      <w:r>
        <w:rPr>
          <w:rFonts w:hint="eastAsia" w:ascii="宋体" w:hAnsi="宋体" w:cs="宋体"/>
          <w:sz w:val="24"/>
          <w:szCs w:val="24"/>
        </w:rPr>
        <w:t>年月日</w:t>
      </w:r>
    </w:p>
    <w:p w14:paraId="2A00BDBE">
      <w:pPr>
        <w:keepNext w:val="0"/>
        <w:keepLines w:val="0"/>
        <w:pageBreakBefore w:val="0"/>
        <w:kinsoku/>
        <w:overflowPunct/>
        <w:topLinePunct w:val="0"/>
        <w:bidi w:val="0"/>
        <w:spacing w:beforeAutospacing="0" w:after="0" w:afterAutospacing="0"/>
        <w:jc w:val="left"/>
      </w:pPr>
    </w:p>
    <w:p w14:paraId="5B1CC53A">
      <w:pPr>
        <w:keepNext w:val="0"/>
        <w:keepLines w:val="0"/>
        <w:pageBreakBefore w:val="0"/>
        <w:kinsoku/>
        <w:overflowPunct/>
        <w:topLinePunct w:val="0"/>
        <w:bidi w:val="0"/>
        <w:spacing w:beforeAutospacing="0" w:after="0" w:afterAutospacing="0"/>
        <w:jc w:val="left"/>
      </w:pPr>
    </w:p>
    <w:p w14:paraId="38AAFDE1">
      <w:pPr>
        <w:keepNext w:val="0"/>
        <w:keepLines w:val="0"/>
        <w:pageBreakBefore w:val="0"/>
        <w:kinsoku/>
        <w:overflowPunct/>
        <w:topLinePunct w:val="0"/>
        <w:bidi w:val="0"/>
        <w:spacing w:beforeAutospacing="0" w:after="0" w:afterAutospacing="0"/>
        <w:jc w:val="left"/>
      </w:pPr>
    </w:p>
    <w:p w14:paraId="767DD3E1">
      <w:pPr>
        <w:keepNext w:val="0"/>
        <w:keepLines w:val="0"/>
        <w:pageBreakBefore w:val="0"/>
        <w:kinsoku/>
        <w:overflowPunct/>
        <w:topLinePunct w:val="0"/>
        <w:bidi w:val="0"/>
        <w:spacing w:beforeAutospacing="0" w:after="0" w:afterAutospacing="0"/>
        <w:jc w:val="left"/>
      </w:pPr>
    </w:p>
    <w:p w14:paraId="73F0CEDE">
      <w:pPr>
        <w:keepNext w:val="0"/>
        <w:keepLines w:val="0"/>
        <w:pageBreakBefore w:val="0"/>
        <w:kinsoku/>
        <w:overflowPunct/>
        <w:topLinePunct w:val="0"/>
        <w:bidi w:val="0"/>
        <w:spacing w:beforeAutospacing="0" w:after="0" w:afterAutospacing="0"/>
        <w:jc w:val="left"/>
      </w:pPr>
    </w:p>
    <w:p w14:paraId="405248EA">
      <w:pPr>
        <w:keepNext w:val="0"/>
        <w:keepLines w:val="0"/>
        <w:pageBreakBefore w:val="0"/>
        <w:kinsoku/>
        <w:overflowPunct/>
        <w:topLinePunct w:val="0"/>
        <w:bidi w:val="0"/>
        <w:spacing w:beforeAutospacing="0" w:after="0" w:afterAutospacing="0"/>
        <w:jc w:val="left"/>
      </w:pPr>
    </w:p>
    <w:p w14:paraId="3D2DFDCA">
      <w:pPr>
        <w:keepNext w:val="0"/>
        <w:keepLines w:val="0"/>
        <w:pageBreakBefore w:val="0"/>
        <w:kinsoku/>
        <w:overflowPunct/>
        <w:topLinePunct w:val="0"/>
        <w:bidi w:val="0"/>
        <w:spacing w:beforeAutospacing="0" w:after="0" w:afterAutospacing="0"/>
        <w:jc w:val="left"/>
        <w:rPr>
          <w:rFonts w:ascii="宋体" w:hAnsi="宋体" w:cs="宋体"/>
          <w:b/>
          <w:bCs/>
          <w:color w:val="0D0D0D"/>
          <w:sz w:val="24"/>
          <w:szCs w:val="24"/>
        </w:rPr>
      </w:pPr>
      <w:r>
        <w:rPr>
          <w:rFonts w:ascii="宋体" w:hAnsi="宋体" w:cs="宋体"/>
          <w:b/>
          <w:bCs/>
          <w:color w:val="0D0D0D"/>
          <w:sz w:val="24"/>
          <w:szCs w:val="24"/>
        </w:rPr>
        <w:br w:type="page"/>
      </w:r>
    </w:p>
    <w:p w14:paraId="7BF8664D">
      <w:pPr>
        <w:keepNext w:val="0"/>
        <w:keepLines w:val="0"/>
        <w:pageBreakBefore w:val="0"/>
        <w:kinsoku/>
        <w:overflowPunct/>
        <w:topLinePunct w:val="0"/>
        <w:bidi w:val="0"/>
        <w:snapToGrid w:val="0"/>
        <w:spacing w:beforeAutospacing="0" w:after="0" w:afterAutospacing="0" w:line="360" w:lineRule="auto"/>
        <w:jc w:val="left"/>
        <w:outlineLvl w:val="2"/>
        <w:rPr>
          <w:rFonts w:ascii="宋体"/>
          <w:color w:val="0D0D0D"/>
          <w:sz w:val="24"/>
          <w:szCs w:val="24"/>
        </w:rPr>
      </w:pPr>
      <w:r>
        <w:rPr>
          <w:rFonts w:ascii="宋体" w:hAnsi="宋体" w:cs="宋体"/>
          <w:b/>
          <w:bCs/>
          <w:color w:val="0D0D0D"/>
          <w:sz w:val="24"/>
          <w:szCs w:val="24"/>
        </w:rPr>
        <w:t>2.3</w:t>
      </w:r>
      <w:r>
        <w:rPr>
          <w:rFonts w:hint="eastAsia" w:ascii="宋体" w:hAnsi="宋体" w:cs="宋体"/>
          <w:b/>
          <w:bCs/>
          <w:color w:val="0D0D0D"/>
          <w:sz w:val="24"/>
          <w:szCs w:val="24"/>
        </w:rPr>
        <w:t>法定代表人授权委托书格式：</w:t>
      </w:r>
    </w:p>
    <w:p w14:paraId="028979D9">
      <w:pPr>
        <w:keepNext w:val="0"/>
        <w:keepLines w:val="0"/>
        <w:pageBreakBefore w:val="0"/>
        <w:kinsoku/>
        <w:overflowPunct/>
        <w:topLinePunct w:val="0"/>
        <w:bidi w:val="0"/>
        <w:snapToGrid w:val="0"/>
        <w:spacing w:beforeAutospacing="0" w:after="0" w:afterAutospacing="0" w:line="360" w:lineRule="auto"/>
        <w:jc w:val="center"/>
        <w:rPr>
          <w:rFonts w:ascii="宋体"/>
          <w:b/>
          <w:bCs/>
          <w:color w:val="0D0D0D"/>
          <w:sz w:val="24"/>
          <w:szCs w:val="24"/>
        </w:rPr>
      </w:pPr>
      <w:r>
        <w:rPr>
          <w:rFonts w:hint="eastAsia" w:ascii="宋体" w:hAnsi="宋体" w:cs="宋体"/>
          <w:b/>
          <w:bCs/>
          <w:color w:val="0D0D0D"/>
          <w:sz w:val="24"/>
          <w:szCs w:val="24"/>
        </w:rPr>
        <w:t>法定代表人授权委托书</w:t>
      </w:r>
    </w:p>
    <w:p w14:paraId="243BC945">
      <w:pPr>
        <w:keepNext w:val="0"/>
        <w:keepLines w:val="0"/>
        <w:pageBreakBefore w:val="0"/>
        <w:kinsoku/>
        <w:overflowPunct/>
        <w:topLinePunct w:val="0"/>
        <w:bidi w:val="0"/>
        <w:snapToGrid w:val="0"/>
        <w:spacing w:beforeAutospacing="0" w:after="0" w:afterAutospacing="0" w:line="360" w:lineRule="auto"/>
        <w:rPr>
          <w:rFonts w:ascii="宋体"/>
          <w:b/>
          <w:bCs/>
          <w:color w:val="0D0D0D"/>
          <w:sz w:val="24"/>
          <w:szCs w:val="24"/>
        </w:rPr>
      </w:pPr>
      <w:r>
        <w:rPr>
          <w:rFonts w:hint="eastAsia" w:ascii="宋体" w:hAnsi="宋体" w:cs="宋体"/>
          <w:color w:val="0D0D0D"/>
          <w:sz w:val="24"/>
          <w:szCs w:val="24"/>
        </w:rPr>
        <w:t>致：</w:t>
      </w:r>
      <w:r>
        <w:rPr>
          <w:rFonts w:ascii="宋体" w:hAnsi="宋体" w:cs="宋体"/>
          <w:color w:val="0D0D0D"/>
          <w:sz w:val="24"/>
          <w:szCs w:val="24"/>
          <w:u w:val="single"/>
        </w:rPr>
        <w:t>_</w:t>
      </w:r>
      <w:r>
        <w:rPr>
          <w:rFonts w:hint="eastAsia" w:ascii="宋体" w:hAnsi="宋体" w:cs="宋体"/>
          <w:color w:val="0D0D0D"/>
          <w:sz w:val="24"/>
          <w:szCs w:val="24"/>
          <w:u w:val="single"/>
        </w:rPr>
        <w:t>金华市金诚招投标代理有限公司</w:t>
      </w:r>
      <w:r>
        <w:rPr>
          <w:rFonts w:ascii="宋体" w:hAnsi="宋体" w:cs="宋体"/>
          <w:color w:val="0D0D0D"/>
          <w:sz w:val="24"/>
          <w:szCs w:val="24"/>
          <w:u w:val="single"/>
        </w:rPr>
        <w:t>_</w:t>
      </w:r>
      <w:r>
        <w:rPr>
          <w:rFonts w:hint="eastAsia" w:ascii="宋体" w:hAnsi="宋体" w:cs="宋体"/>
          <w:color w:val="0D0D0D"/>
          <w:sz w:val="24"/>
          <w:szCs w:val="24"/>
        </w:rPr>
        <w:t>：</w:t>
      </w:r>
    </w:p>
    <w:p w14:paraId="6CAE2F79">
      <w:pPr>
        <w:keepNext w:val="0"/>
        <w:keepLines w:val="0"/>
        <w:pageBreakBefore w:val="0"/>
        <w:kinsoku/>
        <w:overflowPunct/>
        <w:topLinePunct w:val="0"/>
        <w:bidi w:val="0"/>
        <w:spacing w:beforeAutospacing="0" w:after="0" w:afterAutospacing="0" w:line="360" w:lineRule="auto"/>
        <w:ind w:firstLine="480" w:firstLineChars="200"/>
        <w:rPr>
          <w:rFonts w:ascii="宋体"/>
          <w:color w:val="0D0D0D"/>
          <w:sz w:val="24"/>
          <w:szCs w:val="24"/>
        </w:rPr>
      </w:pPr>
      <w:r>
        <w:rPr>
          <w:rFonts w:hint="eastAsia" w:ascii="宋体" w:hAnsi="宋体" w:cs="宋体"/>
          <w:color w:val="0D0D0D"/>
          <w:sz w:val="24"/>
          <w:szCs w:val="24"/>
        </w:rPr>
        <w:t>我</w:t>
      </w:r>
      <w:r>
        <w:rPr>
          <w:rFonts w:ascii="宋体" w:hAnsi="宋体" w:cs="宋体"/>
          <w:color w:val="0D0D0D"/>
          <w:sz w:val="24"/>
          <w:szCs w:val="24"/>
          <w:u w:val="single"/>
        </w:rPr>
        <w:t>____</w:t>
      </w:r>
      <w:r>
        <w:rPr>
          <w:rFonts w:hint="eastAsia" w:ascii="宋体" w:hAnsi="宋体" w:cs="宋体"/>
          <w:color w:val="0D0D0D"/>
          <w:sz w:val="24"/>
          <w:szCs w:val="24"/>
          <w:u w:val="single"/>
        </w:rPr>
        <w:t>（姓名）</w:t>
      </w:r>
      <w:r>
        <w:rPr>
          <w:rFonts w:hint="eastAsia" w:ascii="宋体" w:hAnsi="宋体" w:cs="宋体"/>
          <w:color w:val="0D0D0D"/>
          <w:sz w:val="24"/>
          <w:szCs w:val="24"/>
        </w:rPr>
        <w:t>系</w:t>
      </w:r>
      <w:r>
        <w:rPr>
          <w:rFonts w:hint="eastAsia" w:ascii="宋体" w:hAnsi="宋体" w:cs="宋体"/>
          <w:color w:val="0D0D0D"/>
          <w:sz w:val="24"/>
          <w:szCs w:val="24"/>
          <w:u w:val="single"/>
        </w:rPr>
        <w:t xml:space="preserve">              （投标人名称）</w:t>
      </w:r>
      <w:r>
        <w:rPr>
          <w:rFonts w:hint="eastAsia" w:ascii="宋体" w:hAnsi="宋体" w:cs="宋体"/>
          <w:color w:val="0D0D0D"/>
          <w:sz w:val="24"/>
          <w:szCs w:val="24"/>
        </w:rPr>
        <w:t>的法定代表人，现授权委托本单位在职职工</w:t>
      </w:r>
      <w:r>
        <w:rPr>
          <w:rFonts w:hint="eastAsia" w:ascii="宋体" w:hAnsi="宋体" w:cs="宋体"/>
          <w:color w:val="0D0D0D"/>
          <w:sz w:val="24"/>
          <w:szCs w:val="24"/>
          <w:u w:val="single"/>
        </w:rPr>
        <w:t>（姓名）</w:t>
      </w:r>
      <w:r>
        <w:rPr>
          <w:rFonts w:hint="eastAsia" w:ascii="宋体" w:hAnsi="宋体" w:cs="宋体"/>
          <w:color w:val="0D0D0D"/>
          <w:sz w:val="24"/>
          <w:szCs w:val="24"/>
        </w:rPr>
        <w:t>以我方的名义参加</w:t>
      </w:r>
      <w:r>
        <w:rPr>
          <w:rFonts w:hint="eastAsia" w:ascii="宋体" w:hAnsi="宋体" w:cs="宋体"/>
          <w:color w:val="000000"/>
          <w:sz w:val="24"/>
          <w:szCs w:val="24"/>
          <w:u w:val="single"/>
        </w:rPr>
        <w:t>东阳剧院舞台灯光系统建设更新项目</w:t>
      </w:r>
      <w:r>
        <w:rPr>
          <w:rFonts w:hint="eastAsia" w:ascii="宋体" w:hAnsi="宋体" w:cs="宋体"/>
          <w:color w:val="0D0D0D"/>
          <w:sz w:val="24"/>
          <w:szCs w:val="24"/>
        </w:rPr>
        <w:t>的投标活动，并代表我方全权办理针对上述项目的投标、开标、评标、签约等具体事务和签署相关文件。</w:t>
      </w:r>
    </w:p>
    <w:p w14:paraId="644C988C">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我方对被授权人的签名事项负全部责任。</w:t>
      </w:r>
    </w:p>
    <w:p w14:paraId="12E95BDD">
      <w:pPr>
        <w:keepNext w:val="0"/>
        <w:keepLines w:val="0"/>
        <w:pageBreakBefore w:val="0"/>
        <w:kinsoku/>
        <w:overflowPunct/>
        <w:topLinePunct w:val="0"/>
        <w:bidi w:val="0"/>
        <w:snapToGrid w:val="0"/>
        <w:spacing w:beforeAutospacing="0" w:after="0" w:afterAutospacing="0" w:line="360" w:lineRule="auto"/>
        <w:ind w:firstLine="480"/>
        <w:rPr>
          <w:rFonts w:ascii="宋体" w:hAnsi="宋体" w:cs="宋体"/>
          <w:color w:val="0D0D0D"/>
          <w:sz w:val="24"/>
          <w:szCs w:val="24"/>
          <w:u w:val="single"/>
        </w:rPr>
      </w:pPr>
      <w:r>
        <w:rPr>
          <w:rFonts w:hint="eastAsia" w:ascii="宋体" w:hAnsi="宋体" w:cs="宋体"/>
          <w:color w:val="0D0D0D"/>
          <w:sz w:val="24"/>
          <w:szCs w:val="24"/>
          <w:u w:val="single"/>
        </w:rPr>
        <w:t>委托期限：自开标之日起生效至本项目投标有效期截止之日止。</w:t>
      </w:r>
    </w:p>
    <w:p w14:paraId="6753D1B6">
      <w:pPr>
        <w:keepNext w:val="0"/>
        <w:keepLines w:val="0"/>
        <w:pageBreakBefore w:val="0"/>
        <w:kinsoku/>
        <w:overflowPunct/>
        <w:topLinePunct w:val="0"/>
        <w:bidi w:val="0"/>
        <w:snapToGrid w:val="0"/>
        <w:spacing w:beforeAutospacing="0" w:after="0" w:afterAutospacing="0" w:line="360" w:lineRule="auto"/>
        <w:ind w:firstLine="480"/>
        <w:rPr>
          <w:rFonts w:ascii="宋体"/>
          <w:color w:val="0D0D0D"/>
          <w:sz w:val="24"/>
          <w:szCs w:val="24"/>
        </w:rPr>
      </w:pPr>
      <w:r>
        <w:rPr>
          <w:rFonts w:hint="eastAsia" w:ascii="宋体" w:hAnsi="宋体" w:cs="宋体"/>
          <w:color w:val="0D0D0D"/>
          <w:sz w:val="24"/>
          <w:szCs w:val="24"/>
        </w:rPr>
        <w:t>被授权人在授权书有效期内签署的所有文件不因授权的撤销而失效。</w:t>
      </w:r>
    </w:p>
    <w:p w14:paraId="5839F1D0">
      <w:pPr>
        <w:keepNext w:val="0"/>
        <w:keepLines w:val="0"/>
        <w:pageBreakBefore w:val="0"/>
        <w:kinsoku/>
        <w:overflowPunct/>
        <w:topLinePunct w:val="0"/>
        <w:bidi w:val="0"/>
        <w:snapToGrid w:val="0"/>
        <w:spacing w:beforeAutospacing="0" w:after="0" w:afterAutospacing="0" w:line="360" w:lineRule="auto"/>
        <w:ind w:firstLine="480"/>
        <w:rPr>
          <w:rFonts w:ascii="宋体"/>
          <w:color w:val="0D0D0D"/>
          <w:sz w:val="24"/>
          <w:szCs w:val="24"/>
        </w:rPr>
      </w:pPr>
      <w:r>
        <w:rPr>
          <w:rFonts w:hint="eastAsia" w:ascii="宋体" w:hAnsi="宋体" w:cs="宋体"/>
          <w:color w:val="0D0D0D"/>
          <w:sz w:val="24"/>
          <w:szCs w:val="24"/>
        </w:rPr>
        <w:t>被授权人无转委托权，特此委托。</w:t>
      </w:r>
    </w:p>
    <w:p w14:paraId="19679BD7">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u w:val="single"/>
        </w:rPr>
      </w:pPr>
      <w:r>
        <w:rPr>
          <w:rFonts w:hint="eastAsia" w:ascii="宋体" w:hAnsi="宋体" w:cs="宋体"/>
          <w:color w:val="0D0D0D"/>
          <w:sz w:val="24"/>
          <w:szCs w:val="24"/>
        </w:rPr>
        <w:t>被授权人签名：                     法定代表人签名：</w:t>
      </w:r>
    </w:p>
    <w:p w14:paraId="5A8638FC">
      <w:pPr>
        <w:keepNext w:val="0"/>
        <w:keepLines w:val="0"/>
        <w:pageBreakBefore w:val="0"/>
        <w:kinsoku/>
        <w:overflowPunct/>
        <w:topLinePunct w:val="0"/>
        <w:bidi w:val="0"/>
        <w:snapToGrid w:val="0"/>
        <w:spacing w:beforeAutospacing="0" w:after="0" w:afterAutospacing="0" w:line="360" w:lineRule="auto"/>
        <w:rPr>
          <w:rFonts w:ascii="宋体" w:hAnsi="宋体" w:cs="宋体"/>
          <w:color w:val="0D0D0D"/>
          <w:sz w:val="24"/>
          <w:szCs w:val="24"/>
        </w:rPr>
      </w:pPr>
      <w:r>
        <w:rPr>
          <w:rFonts w:hint="eastAsia" w:ascii="宋体" w:hAnsi="宋体" w:cs="宋体"/>
          <w:color w:val="0D0D0D"/>
          <w:sz w:val="24"/>
          <w:szCs w:val="24"/>
        </w:rPr>
        <w:t>职务：                             职务：</w:t>
      </w:r>
    </w:p>
    <w:p w14:paraId="6BF40E7A">
      <w:pPr>
        <w:pStyle w:val="65"/>
        <w:keepNext w:val="0"/>
        <w:keepLines w:val="0"/>
        <w:pageBreakBefore w:val="0"/>
        <w:kinsoku/>
        <w:overflowPunct/>
        <w:topLinePunct w:val="0"/>
        <w:bidi w:val="0"/>
        <w:spacing w:beforeAutospacing="0" w:after="0" w:afterAutospacing="0" w:line="360" w:lineRule="auto"/>
        <w:ind w:firstLine="0" w:firstLineChars="0"/>
      </w:pPr>
      <w:r>
        <w:rPr>
          <w:rFonts w:hint="eastAsia" w:ascii="宋体" w:hAnsi="宋体" w:cs="宋体"/>
          <w:color w:val="0D0D0D"/>
          <w:sz w:val="24"/>
          <w:szCs w:val="24"/>
        </w:rPr>
        <w:t>联系电话：</w:t>
      </w:r>
    </w:p>
    <w:p w14:paraId="2F08EA57">
      <w:pPr>
        <w:keepNext w:val="0"/>
        <w:keepLines w:val="0"/>
        <w:pageBreakBefore w:val="0"/>
        <w:kinsoku/>
        <w:overflowPunct/>
        <w:topLinePunct w:val="0"/>
        <w:bidi w:val="0"/>
        <w:snapToGrid w:val="0"/>
        <w:spacing w:beforeAutospacing="0" w:after="0" w:afterAutospacing="0" w:line="360" w:lineRule="auto"/>
        <w:rPr>
          <w:rFonts w:ascii="宋体" w:hAnsi="宋体" w:cs="宋体"/>
          <w:color w:val="0D0D0D"/>
          <w:sz w:val="24"/>
          <w:szCs w:val="24"/>
        </w:rPr>
      </w:pPr>
      <w:r>
        <w:rPr>
          <w:rFonts w:hint="eastAsia" w:ascii="宋体" w:hAnsi="宋体" w:cs="宋体"/>
          <w:color w:val="0D0D0D"/>
          <w:sz w:val="24"/>
          <w:szCs w:val="24"/>
        </w:rPr>
        <w:t>被授权人身份证复印件：</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0"/>
      </w:tblGrid>
      <w:tr w14:paraId="32BD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9288" w:type="dxa"/>
          </w:tcPr>
          <w:p w14:paraId="7DA8E99C">
            <w:pPr>
              <w:pStyle w:val="47"/>
              <w:keepNext w:val="0"/>
              <w:keepLines w:val="0"/>
              <w:pageBreakBefore w:val="0"/>
              <w:kinsoku/>
              <w:overflowPunct/>
              <w:topLinePunct w:val="0"/>
              <w:bidi w:val="0"/>
              <w:spacing w:beforeAutospacing="0" w:after="0" w:afterAutospacing="0"/>
              <w:ind w:firstLine="464"/>
              <w:rPr>
                <w:rFonts w:hAnsi="宋体"/>
                <w:color w:val="0D0D0D"/>
                <w:sz w:val="24"/>
                <w:szCs w:val="24"/>
              </w:rPr>
            </w:pPr>
          </w:p>
        </w:tc>
      </w:tr>
    </w:tbl>
    <w:p w14:paraId="569E62DE">
      <w:pPr>
        <w:pStyle w:val="47"/>
        <w:keepNext w:val="0"/>
        <w:keepLines w:val="0"/>
        <w:pageBreakBefore w:val="0"/>
        <w:kinsoku/>
        <w:overflowPunct/>
        <w:topLinePunct w:val="0"/>
        <w:bidi w:val="0"/>
        <w:spacing w:beforeAutospacing="0" w:after="0" w:afterAutospacing="0"/>
        <w:ind w:firstLine="464"/>
        <w:rPr>
          <w:rFonts w:hAnsi="宋体"/>
          <w:color w:val="0D0D0D"/>
          <w:sz w:val="24"/>
          <w:szCs w:val="24"/>
        </w:rPr>
      </w:pPr>
    </w:p>
    <w:p w14:paraId="30DF9FDD">
      <w:pPr>
        <w:pStyle w:val="47"/>
        <w:keepNext w:val="0"/>
        <w:keepLines w:val="0"/>
        <w:pageBreakBefore w:val="0"/>
        <w:kinsoku/>
        <w:overflowPunct/>
        <w:topLinePunct w:val="0"/>
        <w:bidi w:val="0"/>
        <w:spacing w:beforeAutospacing="0" w:after="0" w:afterAutospacing="0"/>
        <w:ind w:firstLine="344"/>
      </w:pPr>
    </w:p>
    <w:p w14:paraId="052A9BBF">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投标人公章：</w:t>
      </w:r>
    </w:p>
    <w:p w14:paraId="49288A88">
      <w:pPr>
        <w:keepNext w:val="0"/>
        <w:keepLines w:val="0"/>
        <w:pageBreakBefore w:val="0"/>
        <w:kinsoku/>
        <w:overflowPunct/>
        <w:topLinePunct w:val="0"/>
        <w:bidi w:val="0"/>
        <w:snapToGrid w:val="0"/>
        <w:spacing w:beforeAutospacing="0" w:after="0" w:afterAutospacing="0" w:line="360" w:lineRule="auto"/>
        <w:jc w:val="center"/>
        <w:rPr>
          <w:rFonts w:ascii="宋体" w:hAnsi="宋体" w:cs="宋体"/>
          <w:color w:val="0D0D0D"/>
          <w:sz w:val="24"/>
          <w:szCs w:val="24"/>
        </w:rPr>
      </w:pPr>
      <w:r>
        <w:rPr>
          <w:rFonts w:hint="eastAsia" w:ascii="宋体" w:hAnsi="宋体" w:cs="宋体"/>
          <w:color w:val="0D0D0D"/>
          <w:sz w:val="24"/>
          <w:szCs w:val="24"/>
        </w:rPr>
        <w:t>年月日</w:t>
      </w:r>
    </w:p>
    <w:p w14:paraId="478206D3">
      <w:pPr>
        <w:keepNext w:val="0"/>
        <w:keepLines w:val="0"/>
        <w:pageBreakBefore w:val="0"/>
        <w:kinsoku/>
        <w:overflowPunct/>
        <w:topLinePunct w:val="0"/>
        <w:bidi w:val="0"/>
        <w:spacing w:beforeAutospacing="0" w:after="0" w:afterAutospacing="0"/>
        <w:jc w:val="left"/>
        <w:rPr>
          <w:rFonts w:ascii="宋体" w:hAnsi="宋体" w:cs="宋体"/>
          <w:color w:val="0D0D0D"/>
          <w:sz w:val="24"/>
          <w:szCs w:val="24"/>
        </w:rPr>
      </w:pPr>
      <w:r>
        <w:rPr>
          <w:rFonts w:hint="eastAsia" w:ascii="宋体" w:hAnsi="宋体" w:cs="宋体"/>
          <w:color w:val="0D0D0D"/>
          <w:sz w:val="24"/>
          <w:szCs w:val="24"/>
        </w:rPr>
        <w:br w:type="page"/>
      </w:r>
    </w:p>
    <w:p w14:paraId="65B7CB64">
      <w:pPr>
        <w:keepNext w:val="0"/>
        <w:keepLines w:val="0"/>
        <w:pageBreakBefore w:val="0"/>
        <w:kinsoku/>
        <w:overflowPunct/>
        <w:topLinePunct w:val="0"/>
        <w:bidi w:val="0"/>
        <w:snapToGrid w:val="0"/>
        <w:spacing w:beforeAutospacing="0" w:after="0" w:afterAutospacing="0" w:line="360" w:lineRule="auto"/>
        <w:jc w:val="left"/>
        <w:outlineLvl w:val="2"/>
        <w:rPr>
          <w:rFonts w:ascii="宋体"/>
          <w:b/>
          <w:bCs/>
          <w:color w:val="0D0D0D"/>
          <w:sz w:val="24"/>
          <w:szCs w:val="24"/>
        </w:rPr>
      </w:pPr>
      <w:r>
        <w:rPr>
          <w:rFonts w:ascii="宋体" w:hAnsi="宋体" w:cs="宋体"/>
          <w:b/>
          <w:bCs/>
          <w:color w:val="0D0D0D"/>
          <w:sz w:val="24"/>
          <w:szCs w:val="24"/>
        </w:rPr>
        <w:t>2.4</w:t>
      </w:r>
      <w:r>
        <w:rPr>
          <w:rFonts w:hint="eastAsia" w:ascii="宋体" w:hAnsi="宋体" w:cs="宋体"/>
          <w:b/>
          <w:bCs/>
          <w:color w:val="0D0D0D"/>
          <w:sz w:val="24"/>
          <w:szCs w:val="24"/>
        </w:rPr>
        <w:t>投标单位情况表：</w:t>
      </w:r>
    </w:p>
    <w:p w14:paraId="683A2AF0">
      <w:pPr>
        <w:keepNext w:val="0"/>
        <w:keepLines w:val="0"/>
        <w:pageBreakBefore w:val="0"/>
        <w:kinsoku/>
        <w:overflowPunct/>
        <w:topLinePunct w:val="0"/>
        <w:bidi w:val="0"/>
        <w:snapToGrid w:val="0"/>
        <w:spacing w:beforeAutospacing="0" w:after="0" w:afterAutospacing="0" w:line="360" w:lineRule="auto"/>
        <w:jc w:val="center"/>
        <w:rPr>
          <w:rFonts w:ascii="宋体"/>
          <w:b/>
          <w:bCs/>
          <w:color w:val="0D0D0D"/>
          <w:sz w:val="24"/>
          <w:szCs w:val="24"/>
        </w:rPr>
      </w:pPr>
      <w:r>
        <w:rPr>
          <w:rFonts w:hint="eastAsia" w:ascii="宋体" w:hAnsi="宋体" w:cs="宋体"/>
          <w:b/>
          <w:bCs/>
          <w:color w:val="0D0D0D"/>
          <w:sz w:val="24"/>
          <w:szCs w:val="24"/>
        </w:rPr>
        <w:t>投标单位情况表</w:t>
      </w:r>
    </w:p>
    <w:p w14:paraId="723C82B0">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投标单位：                                                填表日期：</w:t>
      </w:r>
    </w:p>
    <w:tbl>
      <w:tblPr>
        <w:tblStyle w:val="49"/>
        <w:tblW w:w="9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260"/>
        <w:gridCol w:w="2887"/>
        <w:gridCol w:w="1222"/>
        <w:gridCol w:w="166"/>
        <w:gridCol w:w="2797"/>
      </w:tblGrid>
      <w:tr w14:paraId="6B9A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104" w:type="dxa"/>
            <w:gridSpan w:val="2"/>
            <w:vAlign w:val="center"/>
          </w:tcPr>
          <w:p w14:paraId="11A1EF3B">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单位名称</w:t>
            </w:r>
          </w:p>
        </w:tc>
        <w:tc>
          <w:tcPr>
            <w:tcW w:w="2887" w:type="dxa"/>
            <w:vAlign w:val="center"/>
          </w:tcPr>
          <w:p w14:paraId="352310F6">
            <w:pPr>
              <w:keepNext w:val="0"/>
              <w:keepLines w:val="0"/>
              <w:pageBreakBefore w:val="0"/>
              <w:widowControl/>
              <w:kinsoku/>
              <w:overflowPunct/>
              <w:topLinePunct w:val="0"/>
              <w:bidi w:val="0"/>
              <w:spacing w:beforeAutospacing="0" w:after="0" w:afterAutospacing="0" w:line="360" w:lineRule="auto"/>
              <w:jc w:val="center"/>
              <w:rPr>
                <w:color w:val="0D0D0D"/>
                <w:sz w:val="24"/>
                <w:szCs w:val="24"/>
              </w:rPr>
            </w:pPr>
          </w:p>
        </w:tc>
        <w:tc>
          <w:tcPr>
            <w:tcW w:w="1388" w:type="dxa"/>
            <w:gridSpan w:val="2"/>
            <w:vAlign w:val="center"/>
          </w:tcPr>
          <w:p w14:paraId="6C3F529F">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电话</w:t>
            </w:r>
          </w:p>
        </w:tc>
        <w:tc>
          <w:tcPr>
            <w:tcW w:w="2797" w:type="dxa"/>
            <w:vAlign w:val="center"/>
          </w:tcPr>
          <w:p w14:paraId="4C2816FC">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p>
        </w:tc>
      </w:tr>
      <w:tr w14:paraId="3F7D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104" w:type="dxa"/>
            <w:gridSpan w:val="2"/>
            <w:vAlign w:val="center"/>
          </w:tcPr>
          <w:p w14:paraId="2B6E2608">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地址</w:t>
            </w:r>
          </w:p>
        </w:tc>
        <w:tc>
          <w:tcPr>
            <w:tcW w:w="2887" w:type="dxa"/>
            <w:vAlign w:val="center"/>
          </w:tcPr>
          <w:p w14:paraId="22D574A9">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p>
        </w:tc>
        <w:tc>
          <w:tcPr>
            <w:tcW w:w="1388" w:type="dxa"/>
            <w:gridSpan w:val="2"/>
            <w:vAlign w:val="center"/>
          </w:tcPr>
          <w:p w14:paraId="79B6F9A4">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传真</w:t>
            </w:r>
          </w:p>
        </w:tc>
        <w:tc>
          <w:tcPr>
            <w:tcW w:w="2797" w:type="dxa"/>
            <w:vAlign w:val="center"/>
          </w:tcPr>
          <w:p w14:paraId="25E6E62D">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p>
        </w:tc>
      </w:tr>
      <w:tr w14:paraId="505B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2104" w:type="dxa"/>
            <w:gridSpan w:val="2"/>
            <w:vAlign w:val="center"/>
          </w:tcPr>
          <w:p w14:paraId="0D6B1049">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主管部门</w:t>
            </w:r>
          </w:p>
        </w:tc>
        <w:tc>
          <w:tcPr>
            <w:tcW w:w="2887" w:type="dxa"/>
            <w:vAlign w:val="center"/>
          </w:tcPr>
          <w:p w14:paraId="396D704E">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p>
        </w:tc>
        <w:tc>
          <w:tcPr>
            <w:tcW w:w="1388" w:type="dxa"/>
            <w:gridSpan w:val="2"/>
            <w:vAlign w:val="center"/>
          </w:tcPr>
          <w:p w14:paraId="5C9E76E0">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企业性质</w:t>
            </w:r>
          </w:p>
        </w:tc>
        <w:tc>
          <w:tcPr>
            <w:tcW w:w="2797" w:type="dxa"/>
            <w:vAlign w:val="center"/>
          </w:tcPr>
          <w:p w14:paraId="1D919FE7">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p>
        </w:tc>
      </w:tr>
      <w:tr w14:paraId="4B28D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104" w:type="dxa"/>
            <w:gridSpan w:val="2"/>
            <w:vAlign w:val="center"/>
          </w:tcPr>
          <w:p w14:paraId="4A9C5DEE">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企业法人</w:t>
            </w:r>
          </w:p>
        </w:tc>
        <w:tc>
          <w:tcPr>
            <w:tcW w:w="2887" w:type="dxa"/>
            <w:vAlign w:val="center"/>
          </w:tcPr>
          <w:p w14:paraId="6354CC25">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p>
        </w:tc>
        <w:tc>
          <w:tcPr>
            <w:tcW w:w="1388" w:type="dxa"/>
            <w:gridSpan w:val="2"/>
            <w:vAlign w:val="center"/>
          </w:tcPr>
          <w:p w14:paraId="0BD0A042">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color w:val="0D0D0D"/>
              </w:rPr>
              <w:t>资质等级</w:t>
            </w:r>
          </w:p>
        </w:tc>
        <w:tc>
          <w:tcPr>
            <w:tcW w:w="2797" w:type="dxa"/>
            <w:vAlign w:val="center"/>
          </w:tcPr>
          <w:p w14:paraId="010D13A4">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p>
        </w:tc>
      </w:tr>
      <w:tr w14:paraId="79CBA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2104" w:type="dxa"/>
            <w:gridSpan w:val="2"/>
            <w:vAlign w:val="center"/>
          </w:tcPr>
          <w:p w14:paraId="61EBCEAA">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授权代表</w:t>
            </w:r>
          </w:p>
        </w:tc>
        <w:tc>
          <w:tcPr>
            <w:tcW w:w="2887" w:type="dxa"/>
            <w:vAlign w:val="center"/>
          </w:tcPr>
          <w:p w14:paraId="5033CF89">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p>
        </w:tc>
        <w:tc>
          <w:tcPr>
            <w:tcW w:w="1388" w:type="dxa"/>
            <w:gridSpan w:val="2"/>
            <w:vAlign w:val="center"/>
          </w:tcPr>
          <w:p w14:paraId="6A0D8353">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职务</w:t>
            </w:r>
          </w:p>
        </w:tc>
        <w:tc>
          <w:tcPr>
            <w:tcW w:w="2797" w:type="dxa"/>
            <w:vAlign w:val="center"/>
          </w:tcPr>
          <w:p w14:paraId="4B87A951">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p>
        </w:tc>
      </w:tr>
      <w:tr w14:paraId="501B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844" w:type="dxa"/>
            <w:vMerge w:val="restart"/>
            <w:vAlign w:val="center"/>
          </w:tcPr>
          <w:p w14:paraId="121922E5">
            <w:pPr>
              <w:pStyle w:val="28"/>
              <w:keepNext w:val="0"/>
              <w:keepLines w:val="0"/>
              <w:pageBreakBefore w:val="0"/>
              <w:kinsoku/>
              <w:overflowPunct/>
              <w:topLinePunct w:val="0"/>
              <w:bidi w:val="0"/>
              <w:spacing w:beforeLines="0" w:beforeAutospacing="0" w:after="0" w:afterLines="0" w:afterAutospacing="0" w:line="360" w:lineRule="auto"/>
              <w:ind w:firstLine="720" w:firstLineChars="300"/>
              <w:jc w:val="center"/>
              <w:rPr>
                <w:rFonts w:ascii="Times New Roman" w:hAnsi="Times New Roman" w:cs="Times New Roman"/>
                <w:color w:val="0D0D0D"/>
              </w:rPr>
            </w:pPr>
          </w:p>
          <w:p w14:paraId="55B0461B">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r>
              <w:rPr>
                <w:rFonts w:hint="eastAsia" w:ascii="Times New Roman" w:hAnsi="Times New Roman"/>
                <w:color w:val="0D0D0D"/>
              </w:rPr>
              <w:t>单位概况</w:t>
            </w:r>
          </w:p>
          <w:p w14:paraId="195CAFEC">
            <w:pPr>
              <w:pStyle w:val="28"/>
              <w:keepNext w:val="0"/>
              <w:keepLines w:val="0"/>
              <w:pageBreakBefore w:val="0"/>
              <w:kinsoku/>
              <w:overflowPunct/>
              <w:topLinePunct w:val="0"/>
              <w:bidi w:val="0"/>
              <w:spacing w:beforeLines="0" w:beforeAutospacing="0" w:after="0" w:afterLines="0" w:afterAutospacing="0" w:line="360" w:lineRule="auto"/>
              <w:ind w:firstLine="720" w:firstLineChars="300"/>
              <w:jc w:val="center"/>
              <w:rPr>
                <w:rFonts w:ascii="Times New Roman" w:hAnsi="Times New Roman" w:cs="Times New Roman"/>
                <w:color w:val="0D0D0D"/>
              </w:rPr>
            </w:pPr>
          </w:p>
          <w:p w14:paraId="695262E2">
            <w:pPr>
              <w:pStyle w:val="28"/>
              <w:keepNext w:val="0"/>
              <w:keepLines w:val="0"/>
              <w:pageBreakBefore w:val="0"/>
              <w:kinsoku/>
              <w:overflowPunct/>
              <w:topLinePunct w:val="0"/>
              <w:bidi w:val="0"/>
              <w:spacing w:beforeLines="0" w:beforeAutospacing="0" w:after="0" w:afterLines="0" w:afterAutospacing="0" w:line="360" w:lineRule="auto"/>
              <w:ind w:firstLine="720" w:firstLineChars="300"/>
              <w:jc w:val="center"/>
              <w:rPr>
                <w:rFonts w:ascii="Times New Roman" w:hAnsi="Times New Roman" w:cs="Times New Roman"/>
                <w:color w:val="0D0D0D"/>
              </w:rPr>
            </w:pPr>
          </w:p>
          <w:p w14:paraId="357FCB91">
            <w:pPr>
              <w:pStyle w:val="28"/>
              <w:keepNext w:val="0"/>
              <w:keepLines w:val="0"/>
              <w:pageBreakBefore w:val="0"/>
              <w:kinsoku/>
              <w:overflowPunct/>
              <w:topLinePunct w:val="0"/>
              <w:bidi w:val="0"/>
              <w:spacing w:beforeLines="0" w:beforeAutospacing="0" w:after="0" w:afterLines="0" w:afterAutospacing="0" w:line="360" w:lineRule="auto"/>
              <w:ind w:firstLine="720" w:firstLineChars="300"/>
              <w:jc w:val="center"/>
              <w:rPr>
                <w:rFonts w:ascii="Times New Roman" w:hAnsi="Times New Roman" w:cs="Times New Roman"/>
                <w:color w:val="0D0D0D"/>
              </w:rPr>
            </w:pPr>
          </w:p>
          <w:p w14:paraId="28065878">
            <w:pPr>
              <w:pStyle w:val="28"/>
              <w:keepNext w:val="0"/>
              <w:keepLines w:val="0"/>
              <w:pageBreakBefore w:val="0"/>
              <w:kinsoku/>
              <w:overflowPunct/>
              <w:topLinePunct w:val="0"/>
              <w:bidi w:val="0"/>
              <w:spacing w:beforeLines="0" w:beforeAutospacing="0" w:after="0" w:afterLines="0" w:afterAutospacing="0" w:line="360" w:lineRule="auto"/>
              <w:ind w:firstLine="720" w:firstLineChars="300"/>
              <w:jc w:val="center"/>
              <w:rPr>
                <w:rFonts w:ascii="Times New Roman" w:hAnsi="Times New Roman" w:cs="Times New Roman"/>
                <w:color w:val="0D0D0D"/>
              </w:rPr>
            </w:pPr>
          </w:p>
        </w:tc>
        <w:tc>
          <w:tcPr>
            <w:tcW w:w="1260" w:type="dxa"/>
            <w:vMerge w:val="restart"/>
            <w:vAlign w:val="center"/>
          </w:tcPr>
          <w:p w14:paraId="5E867220">
            <w:pPr>
              <w:keepNext w:val="0"/>
              <w:keepLines w:val="0"/>
              <w:pageBreakBefore w:val="0"/>
              <w:kinsoku/>
              <w:overflowPunct/>
              <w:topLinePunct w:val="0"/>
              <w:bidi w:val="0"/>
              <w:spacing w:beforeAutospacing="0" w:after="0" w:afterAutospacing="0" w:line="360" w:lineRule="auto"/>
              <w:jc w:val="center"/>
              <w:rPr>
                <w:color w:val="0D0D0D"/>
                <w:sz w:val="24"/>
                <w:szCs w:val="24"/>
              </w:rPr>
            </w:pPr>
            <w:r>
              <w:rPr>
                <w:rFonts w:hint="eastAsia" w:cs="宋体"/>
                <w:color w:val="0D0D0D"/>
                <w:sz w:val="24"/>
                <w:szCs w:val="24"/>
              </w:rPr>
              <w:t>职工总数</w:t>
            </w:r>
          </w:p>
        </w:tc>
        <w:tc>
          <w:tcPr>
            <w:tcW w:w="2887" w:type="dxa"/>
            <w:vAlign w:val="center"/>
          </w:tcPr>
          <w:p w14:paraId="4F4C79B2">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员工：人</w:t>
            </w:r>
          </w:p>
        </w:tc>
        <w:tc>
          <w:tcPr>
            <w:tcW w:w="4185" w:type="dxa"/>
            <w:gridSpan w:val="3"/>
            <w:vAlign w:val="center"/>
          </w:tcPr>
          <w:p w14:paraId="6B6408CA">
            <w:pPr>
              <w:pStyle w:val="28"/>
              <w:keepNext w:val="0"/>
              <w:keepLines w:val="0"/>
              <w:pageBreakBefore w:val="0"/>
              <w:kinsoku/>
              <w:overflowPunct/>
              <w:topLinePunct w:val="0"/>
              <w:bidi w:val="0"/>
              <w:spacing w:beforeLines="0" w:beforeAutospacing="0" w:after="0" w:afterLines="0" w:afterAutospacing="0" w:line="360" w:lineRule="auto"/>
              <w:rPr>
                <w:rFonts w:ascii="Times New Roman" w:hAnsi="Times New Roman" w:cs="Times New Roman"/>
                <w:color w:val="0D0D0D"/>
              </w:rPr>
            </w:pPr>
            <w:r>
              <w:rPr>
                <w:rFonts w:hint="eastAsia" w:ascii="Times New Roman" w:hAnsi="Times New Roman"/>
                <w:color w:val="0D0D0D"/>
              </w:rPr>
              <w:t>初级职称：人</w:t>
            </w:r>
          </w:p>
        </w:tc>
      </w:tr>
      <w:tr w14:paraId="7D6E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844" w:type="dxa"/>
            <w:vMerge w:val="continue"/>
            <w:vAlign w:val="center"/>
          </w:tcPr>
          <w:p w14:paraId="538B4890">
            <w:pPr>
              <w:pStyle w:val="28"/>
              <w:keepNext w:val="0"/>
              <w:keepLines w:val="0"/>
              <w:pageBreakBefore w:val="0"/>
              <w:kinsoku/>
              <w:overflowPunct/>
              <w:topLinePunct w:val="0"/>
              <w:bidi w:val="0"/>
              <w:spacing w:beforeLines="0" w:beforeAutospacing="0" w:after="0" w:afterLines="0" w:afterAutospacing="0" w:line="360" w:lineRule="auto"/>
              <w:ind w:firstLine="720" w:firstLineChars="300"/>
              <w:jc w:val="center"/>
              <w:rPr>
                <w:rFonts w:ascii="Times New Roman" w:hAnsi="Times New Roman" w:cs="Times New Roman"/>
                <w:color w:val="0D0D0D"/>
              </w:rPr>
            </w:pPr>
          </w:p>
        </w:tc>
        <w:tc>
          <w:tcPr>
            <w:tcW w:w="1260" w:type="dxa"/>
            <w:vMerge w:val="continue"/>
            <w:vAlign w:val="center"/>
          </w:tcPr>
          <w:p w14:paraId="3F5E2A91">
            <w:pPr>
              <w:keepNext w:val="0"/>
              <w:keepLines w:val="0"/>
              <w:pageBreakBefore w:val="0"/>
              <w:widowControl/>
              <w:kinsoku/>
              <w:overflowPunct/>
              <w:topLinePunct w:val="0"/>
              <w:bidi w:val="0"/>
              <w:spacing w:beforeAutospacing="0" w:after="0" w:afterAutospacing="0" w:line="360" w:lineRule="auto"/>
              <w:jc w:val="center"/>
              <w:rPr>
                <w:color w:val="0D0D0D"/>
                <w:sz w:val="24"/>
                <w:szCs w:val="24"/>
              </w:rPr>
            </w:pPr>
          </w:p>
        </w:tc>
        <w:tc>
          <w:tcPr>
            <w:tcW w:w="2887" w:type="dxa"/>
            <w:vAlign w:val="center"/>
          </w:tcPr>
          <w:p w14:paraId="11CF89E3">
            <w:pPr>
              <w:pStyle w:val="28"/>
              <w:keepNext w:val="0"/>
              <w:keepLines w:val="0"/>
              <w:pageBreakBefore w:val="0"/>
              <w:kinsoku/>
              <w:overflowPunct/>
              <w:topLinePunct w:val="0"/>
              <w:bidi w:val="0"/>
              <w:spacing w:beforeLines="0" w:beforeAutospacing="0" w:after="0" w:afterLines="0" w:afterAutospacing="0" w:line="360" w:lineRule="auto"/>
              <w:rPr>
                <w:rFonts w:cs="Times New Roman"/>
                <w:color w:val="0D0D0D"/>
              </w:rPr>
            </w:pPr>
            <w:r>
              <w:rPr>
                <w:rFonts w:hint="eastAsia"/>
                <w:color w:val="0D0D0D"/>
              </w:rPr>
              <w:t>高级职称：人</w:t>
            </w:r>
          </w:p>
        </w:tc>
        <w:tc>
          <w:tcPr>
            <w:tcW w:w="4185" w:type="dxa"/>
            <w:gridSpan w:val="3"/>
            <w:vAlign w:val="center"/>
          </w:tcPr>
          <w:p w14:paraId="619D1FCF">
            <w:pPr>
              <w:pStyle w:val="28"/>
              <w:keepNext w:val="0"/>
              <w:keepLines w:val="0"/>
              <w:pageBreakBefore w:val="0"/>
              <w:kinsoku/>
              <w:overflowPunct/>
              <w:topLinePunct w:val="0"/>
              <w:bidi w:val="0"/>
              <w:spacing w:beforeLines="0" w:beforeAutospacing="0" w:after="0" w:afterLines="0" w:afterAutospacing="0" w:line="360" w:lineRule="auto"/>
              <w:rPr>
                <w:rFonts w:cs="Times New Roman"/>
                <w:color w:val="0D0D0D"/>
              </w:rPr>
            </w:pPr>
            <w:r>
              <w:rPr>
                <w:rFonts w:hint="eastAsia"/>
                <w:color w:val="0D0D0D"/>
              </w:rPr>
              <w:t>中级职称：人</w:t>
            </w:r>
          </w:p>
        </w:tc>
      </w:tr>
      <w:tr w14:paraId="306F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844" w:type="dxa"/>
            <w:vMerge w:val="continue"/>
            <w:vAlign w:val="center"/>
          </w:tcPr>
          <w:p w14:paraId="3E17EBDF">
            <w:pPr>
              <w:pStyle w:val="28"/>
              <w:keepNext w:val="0"/>
              <w:keepLines w:val="0"/>
              <w:pageBreakBefore w:val="0"/>
              <w:kinsoku/>
              <w:overflowPunct/>
              <w:topLinePunct w:val="0"/>
              <w:bidi w:val="0"/>
              <w:spacing w:beforeLines="0" w:beforeAutospacing="0" w:after="0" w:afterLines="0" w:afterAutospacing="0" w:line="360" w:lineRule="auto"/>
              <w:ind w:firstLine="720" w:firstLineChars="300"/>
              <w:jc w:val="center"/>
              <w:rPr>
                <w:rFonts w:ascii="Times New Roman" w:hAnsi="Times New Roman" w:cs="Times New Roman"/>
                <w:color w:val="0D0D0D"/>
              </w:rPr>
            </w:pPr>
          </w:p>
        </w:tc>
        <w:tc>
          <w:tcPr>
            <w:tcW w:w="1260" w:type="dxa"/>
            <w:vAlign w:val="center"/>
          </w:tcPr>
          <w:p w14:paraId="7BE7E59D">
            <w:pPr>
              <w:pStyle w:val="28"/>
              <w:keepNext w:val="0"/>
              <w:keepLines w:val="0"/>
              <w:pageBreakBefore w:val="0"/>
              <w:kinsoku/>
              <w:overflowPunct/>
              <w:topLinePunct w:val="0"/>
              <w:bidi w:val="0"/>
              <w:spacing w:beforeLines="0" w:beforeAutospacing="0" w:after="0" w:afterLines="0" w:afterAutospacing="0" w:line="360" w:lineRule="auto"/>
              <w:jc w:val="center"/>
              <w:rPr>
                <w:rFonts w:cs="Times New Roman"/>
                <w:color w:val="0D0D0D"/>
              </w:rPr>
            </w:pPr>
            <w:r>
              <w:rPr>
                <w:rFonts w:hint="eastAsia"/>
                <w:color w:val="0D0D0D"/>
              </w:rPr>
              <w:t>流动资金</w:t>
            </w:r>
          </w:p>
        </w:tc>
        <w:tc>
          <w:tcPr>
            <w:tcW w:w="2887" w:type="dxa"/>
            <w:vAlign w:val="center"/>
          </w:tcPr>
          <w:p w14:paraId="5E46BFE4">
            <w:pPr>
              <w:pStyle w:val="28"/>
              <w:keepNext w:val="0"/>
              <w:keepLines w:val="0"/>
              <w:pageBreakBefore w:val="0"/>
              <w:kinsoku/>
              <w:overflowPunct/>
              <w:topLinePunct w:val="0"/>
              <w:bidi w:val="0"/>
              <w:spacing w:beforeLines="0" w:beforeAutospacing="0" w:after="0" w:afterLines="0" w:afterAutospacing="0" w:line="360" w:lineRule="auto"/>
              <w:jc w:val="center"/>
              <w:rPr>
                <w:rFonts w:cs="Times New Roman"/>
                <w:color w:val="0D0D0D"/>
              </w:rPr>
            </w:pPr>
          </w:p>
        </w:tc>
        <w:tc>
          <w:tcPr>
            <w:tcW w:w="1222" w:type="dxa"/>
            <w:vAlign w:val="center"/>
          </w:tcPr>
          <w:p w14:paraId="21BB92FE">
            <w:pPr>
              <w:pStyle w:val="28"/>
              <w:keepNext w:val="0"/>
              <w:keepLines w:val="0"/>
              <w:pageBreakBefore w:val="0"/>
              <w:kinsoku/>
              <w:overflowPunct/>
              <w:topLinePunct w:val="0"/>
              <w:bidi w:val="0"/>
              <w:spacing w:beforeLines="0" w:beforeAutospacing="0" w:after="0" w:afterLines="0" w:afterAutospacing="0" w:line="360" w:lineRule="auto"/>
              <w:jc w:val="center"/>
              <w:rPr>
                <w:rFonts w:cs="Times New Roman"/>
                <w:color w:val="0D0D0D"/>
              </w:rPr>
            </w:pPr>
            <w:r>
              <w:rPr>
                <w:rFonts w:hint="eastAsia"/>
                <w:color w:val="0D0D0D"/>
              </w:rPr>
              <w:t>营业面积</w:t>
            </w:r>
          </w:p>
        </w:tc>
        <w:tc>
          <w:tcPr>
            <w:tcW w:w="2963" w:type="dxa"/>
            <w:gridSpan w:val="2"/>
            <w:vAlign w:val="center"/>
          </w:tcPr>
          <w:p w14:paraId="614EAB3B">
            <w:pPr>
              <w:pStyle w:val="28"/>
              <w:keepNext w:val="0"/>
              <w:keepLines w:val="0"/>
              <w:pageBreakBefore w:val="0"/>
              <w:kinsoku/>
              <w:overflowPunct/>
              <w:topLinePunct w:val="0"/>
              <w:bidi w:val="0"/>
              <w:spacing w:beforeLines="0" w:beforeAutospacing="0" w:after="0" w:afterLines="0" w:afterAutospacing="0" w:line="360" w:lineRule="auto"/>
              <w:jc w:val="center"/>
              <w:rPr>
                <w:rFonts w:cs="Times New Roman"/>
                <w:color w:val="0D0D0D"/>
              </w:rPr>
            </w:pPr>
          </w:p>
        </w:tc>
      </w:tr>
      <w:tr w14:paraId="7BE62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exact"/>
          <w:jc w:val="center"/>
        </w:trPr>
        <w:tc>
          <w:tcPr>
            <w:tcW w:w="844" w:type="dxa"/>
            <w:vMerge w:val="continue"/>
            <w:vAlign w:val="center"/>
          </w:tcPr>
          <w:p w14:paraId="3FA68BB4">
            <w:pPr>
              <w:pStyle w:val="28"/>
              <w:keepNext w:val="0"/>
              <w:keepLines w:val="0"/>
              <w:pageBreakBefore w:val="0"/>
              <w:kinsoku/>
              <w:overflowPunct/>
              <w:topLinePunct w:val="0"/>
              <w:bidi w:val="0"/>
              <w:spacing w:beforeLines="0" w:beforeAutospacing="0" w:after="0" w:afterLines="0" w:afterAutospacing="0" w:line="360" w:lineRule="auto"/>
              <w:ind w:firstLine="720" w:firstLineChars="300"/>
              <w:jc w:val="center"/>
              <w:rPr>
                <w:rFonts w:ascii="Times New Roman" w:hAnsi="Times New Roman" w:cs="Times New Roman"/>
                <w:color w:val="0D0D0D"/>
              </w:rPr>
            </w:pPr>
          </w:p>
        </w:tc>
        <w:tc>
          <w:tcPr>
            <w:tcW w:w="1260" w:type="dxa"/>
            <w:vAlign w:val="center"/>
          </w:tcPr>
          <w:p w14:paraId="2C824803">
            <w:pPr>
              <w:pStyle w:val="28"/>
              <w:keepNext w:val="0"/>
              <w:keepLines w:val="0"/>
              <w:pageBreakBefore w:val="0"/>
              <w:kinsoku/>
              <w:overflowPunct/>
              <w:topLinePunct w:val="0"/>
              <w:bidi w:val="0"/>
              <w:spacing w:beforeLines="0" w:beforeAutospacing="0" w:after="0" w:afterLines="0" w:afterAutospacing="0" w:line="360" w:lineRule="auto"/>
              <w:jc w:val="center"/>
              <w:rPr>
                <w:rFonts w:cs="Times New Roman"/>
                <w:color w:val="0D0D0D"/>
              </w:rPr>
            </w:pPr>
            <w:r>
              <w:rPr>
                <w:rFonts w:hint="eastAsia"/>
                <w:color w:val="0D0D0D"/>
              </w:rPr>
              <w:t>固定资金</w:t>
            </w:r>
          </w:p>
        </w:tc>
        <w:tc>
          <w:tcPr>
            <w:tcW w:w="2887" w:type="dxa"/>
            <w:vAlign w:val="center"/>
          </w:tcPr>
          <w:p w14:paraId="4F57DE0B">
            <w:pPr>
              <w:keepNext w:val="0"/>
              <w:keepLines w:val="0"/>
              <w:pageBreakBefore w:val="0"/>
              <w:widowControl/>
              <w:kinsoku/>
              <w:overflowPunct/>
              <w:topLinePunct w:val="0"/>
              <w:bidi w:val="0"/>
              <w:spacing w:beforeAutospacing="0" w:after="0" w:afterAutospacing="0" w:line="360" w:lineRule="auto"/>
              <w:jc w:val="center"/>
              <w:rPr>
                <w:color w:val="0D0D0D"/>
                <w:sz w:val="24"/>
                <w:szCs w:val="24"/>
              </w:rPr>
            </w:pPr>
          </w:p>
        </w:tc>
        <w:tc>
          <w:tcPr>
            <w:tcW w:w="1222" w:type="dxa"/>
            <w:vAlign w:val="center"/>
          </w:tcPr>
          <w:p w14:paraId="0883B0C4">
            <w:pPr>
              <w:pStyle w:val="28"/>
              <w:keepNext w:val="0"/>
              <w:keepLines w:val="0"/>
              <w:pageBreakBefore w:val="0"/>
              <w:kinsoku/>
              <w:overflowPunct/>
              <w:topLinePunct w:val="0"/>
              <w:bidi w:val="0"/>
              <w:spacing w:beforeLines="0" w:beforeAutospacing="0" w:after="0" w:afterLines="0" w:afterAutospacing="0" w:line="360" w:lineRule="auto"/>
              <w:jc w:val="center"/>
              <w:rPr>
                <w:rFonts w:cs="Times New Roman"/>
                <w:color w:val="0D0D0D"/>
              </w:rPr>
            </w:pPr>
            <w:r>
              <w:rPr>
                <w:rFonts w:hint="eastAsia"/>
                <w:color w:val="0D0D0D"/>
              </w:rPr>
              <w:t>服务网点</w:t>
            </w:r>
          </w:p>
        </w:tc>
        <w:tc>
          <w:tcPr>
            <w:tcW w:w="2963" w:type="dxa"/>
            <w:gridSpan w:val="2"/>
            <w:vAlign w:val="center"/>
          </w:tcPr>
          <w:p w14:paraId="79D65324">
            <w:pPr>
              <w:keepNext w:val="0"/>
              <w:keepLines w:val="0"/>
              <w:pageBreakBefore w:val="0"/>
              <w:widowControl/>
              <w:kinsoku/>
              <w:overflowPunct/>
              <w:topLinePunct w:val="0"/>
              <w:bidi w:val="0"/>
              <w:spacing w:beforeAutospacing="0" w:after="0" w:afterAutospacing="0" w:line="360" w:lineRule="auto"/>
              <w:jc w:val="center"/>
              <w:rPr>
                <w:color w:val="0D0D0D"/>
                <w:sz w:val="24"/>
                <w:szCs w:val="24"/>
              </w:rPr>
            </w:pPr>
          </w:p>
        </w:tc>
      </w:tr>
      <w:tr w14:paraId="1FD1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844" w:type="dxa"/>
            <w:vAlign w:val="center"/>
          </w:tcPr>
          <w:p w14:paraId="779EC45E">
            <w:pPr>
              <w:pStyle w:val="28"/>
              <w:keepNext w:val="0"/>
              <w:keepLines w:val="0"/>
              <w:pageBreakBefore w:val="0"/>
              <w:kinsoku/>
              <w:overflowPunct/>
              <w:topLinePunct w:val="0"/>
              <w:bidi w:val="0"/>
              <w:spacing w:beforeLines="0" w:beforeAutospacing="0" w:after="0" w:afterLines="0" w:afterAutospacing="0" w:line="360" w:lineRule="auto"/>
              <w:jc w:val="center"/>
              <w:rPr>
                <w:rFonts w:ascii="Times New Roman" w:hAnsi="Times New Roman" w:cs="Times New Roman"/>
                <w:color w:val="0D0D0D"/>
              </w:rPr>
            </w:pPr>
            <w:r>
              <w:rPr>
                <w:rFonts w:hint="eastAsia" w:ascii="Times New Roman" w:hAnsi="Times New Roman"/>
                <w:color w:val="0D0D0D"/>
              </w:rPr>
              <w:t>单位情况简介</w:t>
            </w:r>
          </w:p>
        </w:tc>
        <w:tc>
          <w:tcPr>
            <w:tcW w:w="8332" w:type="dxa"/>
            <w:gridSpan w:val="5"/>
          </w:tcPr>
          <w:p w14:paraId="4BDEC066">
            <w:pPr>
              <w:keepNext w:val="0"/>
              <w:keepLines w:val="0"/>
              <w:pageBreakBefore w:val="0"/>
              <w:kinsoku/>
              <w:overflowPunct/>
              <w:topLinePunct w:val="0"/>
              <w:bidi w:val="0"/>
              <w:spacing w:beforeAutospacing="0" w:after="0" w:afterAutospacing="0" w:line="360" w:lineRule="auto"/>
              <w:jc w:val="left"/>
              <w:rPr>
                <w:color w:val="0D0D0D"/>
                <w:sz w:val="24"/>
                <w:szCs w:val="24"/>
              </w:rPr>
            </w:pPr>
          </w:p>
        </w:tc>
      </w:tr>
    </w:tbl>
    <w:p w14:paraId="039A80D4">
      <w:pPr>
        <w:keepNext w:val="0"/>
        <w:keepLines w:val="0"/>
        <w:pageBreakBefore w:val="0"/>
        <w:kinsoku/>
        <w:overflowPunct/>
        <w:topLinePunct w:val="0"/>
        <w:bidi w:val="0"/>
        <w:spacing w:beforeAutospacing="0" w:after="0" w:afterAutospacing="0"/>
        <w:rPr>
          <w:rFonts w:ascii="宋体" w:hAnsi="宋体" w:cs="宋体"/>
          <w:b/>
          <w:bCs/>
          <w:sz w:val="24"/>
          <w:szCs w:val="24"/>
        </w:rPr>
      </w:pPr>
    </w:p>
    <w:p w14:paraId="54BA6E48">
      <w:pPr>
        <w:keepNext w:val="0"/>
        <w:keepLines w:val="0"/>
        <w:pageBreakBefore w:val="0"/>
        <w:kinsoku/>
        <w:overflowPunct/>
        <w:topLinePunct w:val="0"/>
        <w:bidi w:val="0"/>
        <w:spacing w:beforeAutospacing="0" w:after="0" w:afterAutospacing="0"/>
        <w:rPr>
          <w:rFonts w:ascii="宋体" w:hAnsi="宋体" w:cs="宋体"/>
          <w:b/>
          <w:bCs/>
          <w:sz w:val="24"/>
          <w:szCs w:val="24"/>
        </w:rPr>
      </w:pPr>
    </w:p>
    <w:p w14:paraId="7349E7B2">
      <w:pPr>
        <w:keepNext w:val="0"/>
        <w:keepLines w:val="0"/>
        <w:pageBreakBefore w:val="0"/>
        <w:kinsoku/>
        <w:overflowPunct/>
        <w:topLinePunct w:val="0"/>
        <w:bidi w:val="0"/>
        <w:spacing w:beforeAutospacing="0" w:after="0" w:afterAutospacing="0"/>
        <w:rPr>
          <w:rFonts w:ascii="宋体" w:hAnsi="宋体" w:cs="宋体"/>
          <w:b/>
          <w:bCs/>
          <w:sz w:val="24"/>
          <w:szCs w:val="24"/>
        </w:rPr>
      </w:pPr>
      <w:r>
        <w:rPr>
          <w:rFonts w:ascii="宋体" w:hAnsi="宋体" w:cs="宋体"/>
          <w:b/>
          <w:bCs/>
          <w:sz w:val="24"/>
          <w:szCs w:val="24"/>
        </w:rPr>
        <w:br w:type="page"/>
      </w:r>
    </w:p>
    <w:p w14:paraId="6AA1E4C5">
      <w:pPr>
        <w:keepNext w:val="0"/>
        <w:keepLines w:val="0"/>
        <w:pageBreakBefore w:val="0"/>
        <w:kinsoku/>
        <w:overflowPunct/>
        <w:topLinePunct w:val="0"/>
        <w:bidi w:val="0"/>
        <w:snapToGrid w:val="0"/>
        <w:spacing w:beforeAutospacing="0" w:after="0" w:afterAutospacing="0" w:line="360" w:lineRule="auto"/>
        <w:jc w:val="left"/>
        <w:outlineLvl w:val="2"/>
        <w:rPr>
          <w:rFonts w:ascii="宋体"/>
          <w:b/>
          <w:sz w:val="24"/>
        </w:rPr>
      </w:pPr>
      <w:r>
        <w:rPr>
          <w:rFonts w:hint="eastAsia" w:ascii="宋体" w:hAnsi="宋体"/>
          <w:b/>
          <w:sz w:val="24"/>
        </w:rPr>
        <w:t>2.5中小企业声明函</w:t>
      </w:r>
    </w:p>
    <w:p w14:paraId="7C0C4BD2">
      <w:pPr>
        <w:keepNext w:val="0"/>
        <w:keepLines w:val="0"/>
        <w:pageBreakBefore w:val="0"/>
        <w:kinsoku/>
        <w:overflowPunct/>
        <w:topLinePunct w:val="0"/>
        <w:bidi w:val="0"/>
        <w:spacing w:beforeAutospacing="0" w:after="0" w:afterAutospacing="0"/>
        <w:rPr>
          <w:rFonts w:ascii="宋体"/>
          <w:b/>
          <w:sz w:val="24"/>
        </w:rPr>
      </w:pPr>
    </w:p>
    <w:p w14:paraId="4C62A0E3">
      <w:pPr>
        <w:keepNext w:val="0"/>
        <w:keepLines w:val="0"/>
        <w:pageBreakBefore w:val="0"/>
        <w:tabs>
          <w:tab w:val="left" w:pos="420"/>
        </w:tabs>
        <w:kinsoku/>
        <w:overflowPunct/>
        <w:topLinePunct w:val="0"/>
        <w:bidi w:val="0"/>
        <w:spacing w:beforeAutospacing="0" w:after="0" w:afterAutospacing="0"/>
        <w:ind w:firstLine="482" w:firstLineChars="200"/>
        <w:jc w:val="center"/>
        <w:rPr>
          <w:rFonts w:ascii="宋体" w:hAnsi="宋体" w:cs="Arial"/>
          <w:b/>
          <w:bCs/>
          <w:kern w:val="0"/>
          <w:sz w:val="24"/>
        </w:rPr>
      </w:pPr>
      <w:r>
        <w:rPr>
          <w:rFonts w:hint="eastAsia" w:ascii="宋体" w:hAnsi="宋体" w:cs="Arial"/>
          <w:b/>
          <w:bCs/>
          <w:kern w:val="0"/>
          <w:sz w:val="24"/>
        </w:rPr>
        <w:t>中小企业声明函（货物）</w:t>
      </w:r>
    </w:p>
    <w:p w14:paraId="5F44BD39">
      <w:pPr>
        <w:keepNext w:val="0"/>
        <w:keepLines w:val="0"/>
        <w:pageBreakBefore w:val="0"/>
        <w:kinsoku/>
        <w:overflowPunct/>
        <w:topLinePunct w:val="0"/>
        <w:bidi w:val="0"/>
        <w:spacing w:beforeAutospacing="0" w:after="0" w:afterAutospacing="0"/>
      </w:pPr>
    </w:p>
    <w:p w14:paraId="1384CDFC">
      <w:pPr>
        <w:keepNext w:val="0"/>
        <w:keepLines w:val="0"/>
        <w:pageBreakBefore w:val="0"/>
        <w:tabs>
          <w:tab w:val="left" w:pos="420"/>
        </w:tabs>
        <w:kinsoku/>
        <w:overflowPunct/>
        <w:topLinePunct w:val="0"/>
        <w:bidi w:val="0"/>
        <w:spacing w:beforeAutospacing="0" w:after="0" w:afterAutospacing="0" w:line="360" w:lineRule="auto"/>
        <w:ind w:firstLine="480" w:firstLineChars="200"/>
        <w:jc w:val="left"/>
        <w:rPr>
          <w:rFonts w:ascii="宋体" w:hAnsi="宋体" w:cs="Arial"/>
          <w:bCs/>
          <w:kern w:val="0"/>
          <w:sz w:val="24"/>
        </w:rPr>
      </w:pPr>
      <w:r>
        <w:rPr>
          <w:rFonts w:hint="eastAsia" w:ascii="宋体" w:hAnsi="宋体" w:cs="Arial"/>
          <w:bCs/>
          <w:kern w:val="0"/>
          <w:sz w:val="24"/>
        </w:rPr>
        <w:t>本公司郑重声明，根据《政府采购促进中小企业发展管理办法》（财库﹝2020﹞46 号）的规定，本公司参加__________________（单位名称） 的__________________（项目名称） 采购活动，提供的货物全部由符合政策要求的中小企业制造。相关企业（含联合体中的中小企业、签订分包意向协议的中小企业）的具体情况如下：</w:t>
      </w:r>
    </w:p>
    <w:p w14:paraId="0F0AFD31">
      <w:pPr>
        <w:keepNext w:val="0"/>
        <w:keepLines w:val="0"/>
        <w:pageBreakBefore w:val="0"/>
        <w:numPr>
          <w:ilvl w:val="0"/>
          <w:numId w:val="6"/>
        </w:numPr>
        <w:tabs>
          <w:tab w:val="left" w:pos="420"/>
        </w:tabs>
        <w:kinsoku/>
        <w:overflowPunct/>
        <w:topLinePunct w:val="0"/>
        <w:bidi w:val="0"/>
        <w:spacing w:beforeAutospacing="0" w:after="0" w:afterAutospacing="0" w:line="360" w:lineRule="auto"/>
        <w:ind w:firstLine="480" w:firstLineChars="200"/>
        <w:jc w:val="left"/>
        <w:rPr>
          <w:rFonts w:ascii="宋体" w:hAnsi="宋体" w:cs="Arial"/>
          <w:bCs/>
          <w:kern w:val="0"/>
          <w:sz w:val="24"/>
        </w:rPr>
      </w:pPr>
      <w:r>
        <w:rPr>
          <w:rFonts w:hint="eastAsia" w:ascii="宋体" w:hAnsi="宋体" w:cs="Arial"/>
          <w:bCs/>
          <w:kern w:val="0"/>
          <w:sz w:val="24"/>
        </w:rPr>
        <w:t>（标的名称），属于（采购文件中明确的所属行业）行业；制造商为（企业名称），从业人员_____人，营业收入为_____万元，资产总额为_____万元，属于（中型企业、小型企业、微型企业）；</w:t>
      </w:r>
    </w:p>
    <w:p w14:paraId="0164C173">
      <w:pPr>
        <w:keepNext w:val="0"/>
        <w:keepLines w:val="0"/>
        <w:pageBreakBefore w:val="0"/>
        <w:numPr>
          <w:ilvl w:val="0"/>
          <w:numId w:val="6"/>
        </w:numPr>
        <w:tabs>
          <w:tab w:val="left" w:pos="420"/>
        </w:tabs>
        <w:kinsoku/>
        <w:overflowPunct/>
        <w:topLinePunct w:val="0"/>
        <w:bidi w:val="0"/>
        <w:spacing w:beforeAutospacing="0" w:after="0" w:afterAutospacing="0" w:line="360" w:lineRule="auto"/>
        <w:ind w:firstLine="480" w:firstLineChars="200"/>
        <w:jc w:val="left"/>
        <w:rPr>
          <w:rFonts w:ascii="宋体" w:hAnsi="宋体" w:cs="Arial"/>
          <w:bCs/>
          <w:kern w:val="0"/>
          <w:sz w:val="24"/>
        </w:rPr>
      </w:pPr>
      <w:r>
        <w:rPr>
          <w:rFonts w:hint="eastAsia" w:ascii="宋体" w:hAnsi="宋体" w:cs="Arial"/>
          <w:bCs/>
          <w:kern w:val="0"/>
          <w:sz w:val="24"/>
        </w:rPr>
        <w:t>（标的名称），属于（采购文件中明确的所属行业）行业；制造商为（企业名称），从业人员_____人，营业收入为_____万元，资产总额为_____万元，属于（中型企业、小型企业、微型企业）；</w:t>
      </w:r>
    </w:p>
    <w:p w14:paraId="3D93DF2E">
      <w:pPr>
        <w:keepNext w:val="0"/>
        <w:keepLines w:val="0"/>
        <w:pageBreakBefore w:val="0"/>
        <w:tabs>
          <w:tab w:val="left" w:pos="420"/>
        </w:tabs>
        <w:kinsoku/>
        <w:overflowPunct/>
        <w:topLinePunct w:val="0"/>
        <w:bidi w:val="0"/>
        <w:spacing w:beforeAutospacing="0" w:after="0" w:afterAutospacing="0" w:line="360" w:lineRule="auto"/>
        <w:ind w:firstLine="480" w:firstLineChars="200"/>
        <w:jc w:val="left"/>
        <w:rPr>
          <w:rFonts w:ascii="宋体" w:hAnsi="宋体" w:cs="Arial"/>
          <w:bCs/>
          <w:kern w:val="0"/>
          <w:sz w:val="24"/>
        </w:rPr>
      </w:pPr>
      <w:r>
        <w:rPr>
          <w:rFonts w:hint="eastAsia" w:ascii="宋体" w:hAnsi="宋体" w:cs="Arial"/>
          <w:bCs/>
          <w:kern w:val="0"/>
          <w:sz w:val="24"/>
        </w:rPr>
        <w:t>以上企业，不属于大企业的分支机构，不存在控股股东为大企业的情形，也不存在与大企业的负责人为同一人的情形。</w:t>
      </w:r>
    </w:p>
    <w:p w14:paraId="0581EDDE">
      <w:pPr>
        <w:keepNext w:val="0"/>
        <w:keepLines w:val="0"/>
        <w:pageBreakBefore w:val="0"/>
        <w:tabs>
          <w:tab w:val="left" w:pos="420"/>
        </w:tabs>
        <w:kinsoku/>
        <w:overflowPunct/>
        <w:topLinePunct w:val="0"/>
        <w:bidi w:val="0"/>
        <w:spacing w:beforeAutospacing="0" w:after="0" w:afterAutospacing="0" w:line="360" w:lineRule="auto"/>
        <w:ind w:firstLine="480" w:firstLineChars="200"/>
        <w:jc w:val="left"/>
        <w:rPr>
          <w:rFonts w:ascii="宋体" w:hAnsi="宋体" w:cs="Arial"/>
          <w:bCs/>
          <w:kern w:val="0"/>
          <w:sz w:val="24"/>
        </w:rPr>
      </w:pPr>
      <w:r>
        <w:rPr>
          <w:rFonts w:hint="eastAsia" w:ascii="宋体" w:hAnsi="宋体" w:cs="Arial"/>
          <w:bCs/>
          <w:kern w:val="0"/>
          <w:sz w:val="24"/>
        </w:rPr>
        <w:t>本企业对上述声明内容的真实性负责。如有虚假，将依法承担相应责任。</w:t>
      </w:r>
    </w:p>
    <w:p w14:paraId="30C6E942">
      <w:pPr>
        <w:keepNext w:val="0"/>
        <w:keepLines w:val="0"/>
        <w:pageBreakBefore w:val="0"/>
        <w:tabs>
          <w:tab w:val="left" w:pos="420"/>
        </w:tabs>
        <w:kinsoku/>
        <w:overflowPunct/>
        <w:topLinePunct w:val="0"/>
        <w:bidi w:val="0"/>
        <w:spacing w:beforeAutospacing="0" w:after="0" w:afterAutospacing="0" w:line="360" w:lineRule="auto"/>
        <w:ind w:firstLine="480" w:firstLineChars="200"/>
        <w:jc w:val="left"/>
        <w:rPr>
          <w:rFonts w:ascii="宋体" w:hAnsi="宋体" w:cs="Arial"/>
          <w:bCs/>
          <w:kern w:val="0"/>
          <w:sz w:val="24"/>
        </w:rPr>
      </w:pPr>
    </w:p>
    <w:p w14:paraId="4B9B49B1">
      <w:pPr>
        <w:keepNext w:val="0"/>
        <w:keepLines w:val="0"/>
        <w:pageBreakBefore w:val="0"/>
        <w:tabs>
          <w:tab w:val="left" w:pos="420"/>
        </w:tabs>
        <w:kinsoku/>
        <w:overflowPunct/>
        <w:topLinePunct w:val="0"/>
        <w:bidi w:val="0"/>
        <w:spacing w:beforeAutospacing="0" w:after="0" w:afterAutospacing="0" w:line="360" w:lineRule="auto"/>
        <w:ind w:firstLine="480" w:firstLineChars="200"/>
        <w:jc w:val="right"/>
        <w:rPr>
          <w:rFonts w:ascii="宋体" w:hAnsi="宋体" w:cs="Arial"/>
          <w:bCs/>
          <w:kern w:val="0"/>
          <w:sz w:val="24"/>
        </w:rPr>
      </w:pPr>
      <w:r>
        <w:rPr>
          <w:rFonts w:hint="eastAsia" w:ascii="宋体" w:hAnsi="宋体" w:cs="Arial"/>
          <w:bCs/>
          <w:kern w:val="0"/>
          <w:sz w:val="24"/>
        </w:rPr>
        <w:t>企业名称（盖章）：</w:t>
      </w:r>
    </w:p>
    <w:p w14:paraId="5452277E">
      <w:pPr>
        <w:keepNext w:val="0"/>
        <w:keepLines w:val="0"/>
        <w:pageBreakBefore w:val="0"/>
        <w:tabs>
          <w:tab w:val="left" w:pos="420"/>
        </w:tabs>
        <w:kinsoku/>
        <w:overflowPunct/>
        <w:topLinePunct w:val="0"/>
        <w:bidi w:val="0"/>
        <w:spacing w:beforeAutospacing="0" w:after="0" w:afterAutospacing="0" w:line="360" w:lineRule="auto"/>
        <w:ind w:firstLine="480" w:firstLineChars="200"/>
        <w:jc w:val="center"/>
        <w:rPr>
          <w:rFonts w:ascii="宋体" w:hAnsi="宋体" w:cs="Arial"/>
          <w:bCs/>
          <w:kern w:val="0"/>
          <w:sz w:val="24"/>
        </w:rPr>
      </w:pPr>
      <w:r>
        <w:rPr>
          <w:rFonts w:hint="eastAsia" w:ascii="宋体" w:hAnsi="宋体" w:cs="Arial"/>
          <w:bCs/>
          <w:kern w:val="0"/>
          <w:sz w:val="24"/>
        </w:rPr>
        <w:t>日 期：</w:t>
      </w:r>
    </w:p>
    <w:p w14:paraId="68FAB212">
      <w:pPr>
        <w:keepNext w:val="0"/>
        <w:keepLines w:val="0"/>
        <w:pageBreakBefore w:val="0"/>
        <w:tabs>
          <w:tab w:val="left" w:pos="420"/>
        </w:tabs>
        <w:kinsoku/>
        <w:overflowPunct/>
        <w:topLinePunct w:val="0"/>
        <w:bidi w:val="0"/>
        <w:spacing w:beforeAutospacing="0" w:after="0" w:afterAutospacing="0"/>
        <w:rPr>
          <w:rFonts w:ascii="宋体" w:hAnsi="宋体" w:cs="Arial"/>
          <w:b/>
          <w:bCs/>
          <w:kern w:val="0"/>
          <w:sz w:val="24"/>
        </w:rPr>
      </w:pPr>
      <w:r>
        <w:rPr>
          <w:rFonts w:hint="eastAsia" w:ascii="宋体" w:hAnsi="宋体" w:cs="Arial"/>
          <w:b/>
          <w:bCs/>
          <w:kern w:val="0"/>
          <w:sz w:val="24"/>
        </w:rPr>
        <w:t>注：</w:t>
      </w:r>
    </w:p>
    <w:p w14:paraId="3AA46AF2">
      <w:pPr>
        <w:keepNext w:val="0"/>
        <w:keepLines w:val="0"/>
        <w:pageBreakBefore w:val="0"/>
        <w:tabs>
          <w:tab w:val="left" w:pos="420"/>
        </w:tabs>
        <w:kinsoku/>
        <w:overflowPunct/>
        <w:topLinePunct w:val="0"/>
        <w:bidi w:val="0"/>
        <w:spacing w:beforeAutospacing="0" w:after="0" w:afterAutospacing="0"/>
        <w:rPr>
          <w:rFonts w:ascii="宋体" w:hAnsi="宋体"/>
          <w:b/>
        </w:rPr>
      </w:pPr>
      <w:r>
        <w:rPr>
          <w:rFonts w:hint="eastAsia" w:ascii="宋体" w:hAnsi="宋体" w:cs="Arial"/>
          <w:b/>
          <w:bCs/>
          <w:kern w:val="0"/>
          <w:sz w:val="24"/>
        </w:rPr>
        <w:t>1、</w:t>
      </w:r>
      <w:r>
        <w:rPr>
          <w:rFonts w:hint="eastAsia" w:ascii="宋体" w:hAnsi="宋体"/>
          <w:b/>
        </w:rPr>
        <w:t>如投标产品由小微企业生产，则需提供中小企业声明函。</w:t>
      </w:r>
    </w:p>
    <w:p w14:paraId="69BA7FDA">
      <w:pPr>
        <w:keepNext w:val="0"/>
        <w:keepLines w:val="0"/>
        <w:pageBreakBefore w:val="0"/>
        <w:tabs>
          <w:tab w:val="left" w:pos="420"/>
        </w:tabs>
        <w:kinsoku/>
        <w:overflowPunct/>
        <w:topLinePunct w:val="0"/>
        <w:bidi w:val="0"/>
        <w:spacing w:beforeAutospacing="0" w:after="0" w:afterAutospacing="0"/>
        <w:rPr>
          <w:rFonts w:ascii="宋体" w:hAnsi="宋体"/>
          <w:b/>
        </w:rPr>
      </w:pPr>
      <w:r>
        <w:rPr>
          <w:rFonts w:hint="eastAsia" w:ascii="宋体" w:hAnsi="宋体"/>
          <w:b/>
        </w:rPr>
        <w:t>2、小微企业提供的货物既有中小企业制造货物，也有大型企业制造货物的，不享受中小企业扶持政策。</w:t>
      </w:r>
    </w:p>
    <w:p w14:paraId="63FB700E">
      <w:pPr>
        <w:keepNext w:val="0"/>
        <w:keepLines w:val="0"/>
        <w:pageBreakBefore w:val="0"/>
        <w:kinsoku/>
        <w:overflowPunct/>
        <w:topLinePunct w:val="0"/>
        <w:bidi w:val="0"/>
        <w:spacing w:beforeAutospacing="0" w:after="0" w:afterAutospacing="0"/>
        <w:rPr>
          <w:rFonts w:ascii="宋体"/>
          <w:b/>
          <w:sz w:val="24"/>
        </w:rPr>
      </w:pPr>
      <w:r>
        <w:rPr>
          <w:rFonts w:hint="eastAsia" w:ascii="宋体" w:hAnsi="宋体"/>
          <w:b/>
        </w:rPr>
        <w:t>3、如中标人声明为小微企业，本声明函将随中标结果同时公告，接受社会监督。</w:t>
      </w:r>
    </w:p>
    <w:p w14:paraId="4BEED8EA">
      <w:pPr>
        <w:keepNext w:val="0"/>
        <w:keepLines w:val="0"/>
        <w:pageBreakBefore w:val="0"/>
        <w:kinsoku/>
        <w:overflowPunct/>
        <w:topLinePunct w:val="0"/>
        <w:bidi w:val="0"/>
        <w:spacing w:beforeAutospacing="0" w:after="0" w:afterAutospacing="0"/>
        <w:rPr>
          <w:rFonts w:ascii="宋体" w:hAnsi="宋体" w:cs="Arial"/>
          <w:b/>
          <w:bCs/>
          <w:kern w:val="0"/>
          <w:sz w:val="24"/>
        </w:rPr>
      </w:pPr>
      <w:r>
        <w:rPr>
          <w:rFonts w:hint="eastAsia" w:ascii="宋体" w:hAnsi="宋体" w:cs="Arial"/>
          <w:b/>
          <w:bCs/>
          <w:kern w:val="0"/>
          <w:sz w:val="24"/>
        </w:rPr>
        <w:br w:type="page"/>
      </w:r>
    </w:p>
    <w:p w14:paraId="7EBB84DC">
      <w:pPr>
        <w:keepNext w:val="0"/>
        <w:keepLines w:val="0"/>
        <w:pageBreakBefore w:val="0"/>
        <w:kinsoku/>
        <w:overflowPunct/>
        <w:topLinePunct w:val="0"/>
        <w:bidi w:val="0"/>
        <w:snapToGrid w:val="0"/>
        <w:spacing w:beforeAutospacing="0" w:after="0" w:afterAutospacing="0" w:line="360" w:lineRule="auto"/>
        <w:jc w:val="left"/>
        <w:outlineLvl w:val="2"/>
        <w:rPr>
          <w:rFonts w:ascii="宋体" w:hAnsi="宋体"/>
          <w:b/>
          <w:sz w:val="24"/>
        </w:rPr>
      </w:pPr>
      <w:r>
        <w:rPr>
          <w:rFonts w:hint="eastAsia" w:ascii="宋体" w:hAnsi="宋体"/>
          <w:b/>
          <w:sz w:val="24"/>
        </w:rPr>
        <w:t>2</w:t>
      </w:r>
      <w:r>
        <w:rPr>
          <w:rFonts w:ascii="宋体" w:hAnsi="宋体"/>
          <w:b/>
          <w:sz w:val="24"/>
        </w:rPr>
        <w:t>.</w:t>
      </w:r>
      <w:r>
        <w:rPr>
          <w:rFonts w:hint="eastAsia" w:ascii="宋体" w:hAnsi="宋体"/>
          <w:b/>
          <w:sz w:val="24"/>
        </w:rPr>
        <w:t>6：</w:t>
      </w:r>
    </w:p>
    <w:p w14:paraId="6ABCD056">
      <w:pPr>
        <w:keepNext w:val="0"/>
        <w:keepLines w:val="0"/>
        <w:pageBreakBefore w:val="0"/>
        <w:kinsoku/>
        <w:overflowPunct/>
        <w:topLinePunct w:val="0"/>
        <w:bidi w:val="0"/>
        <w:spacing w:beforeAutospacing="0" w:after="0" w:afterAutospacing="0" w:line="588" w:lineRule="exact"/>
        <w:jc w:val="center"/>
        <w:rPr>
          <w:rFonts w:ascii="宋体"/>
          <w:b/>
          <w:spacing w:val="6"/>
          <w:sz w:val="24"/>
        </w:rPr>
      </w:pPr>
      <w:r>
        <w:rPr>
          <w:rFonts w:hint="eastAsia" w:ascii="宋体" w:hAnsi="宋体"/>
          <w:b/>
          <w:spacing w:val="6"/>
          <w:sz w:val="24"/>
        </w:rPr>
        <w:t>残疾人福利性单位声明函</w:t>
      </w:r>
    </w:p>
    <w:p w14:paraId="26D79277">
      <w:pPr>
        <w:keepNext w:val="0"/>
        <w:keepLines w:val="0"/>
        <w:pageBreakBefore w:val="0"/>
        <w:kinsoku/>
        <w:overflowPunct/>
        <w:topLinePunct w:val="0"/>
        <w:bidi w:val="0"/>
        <w:spacing w:beforeAutospacing="0" w:after="0" w:afterAutospacing="0" w:line="588" w:lineRule="exact"/>
        <w:rPr>
          <w:rFonts w:ascii="宋体"/>
          <w:b/>
          <w:spacing w:val="6"/>
          <w:sz w:val="24"/>
        </w:rPr>
      </w:pPr>
    </w:p>
    <w:p w14:paraId="16CC2B0E">
      <w:pPr>
        <w:keepNext w:val="0"/>
        <w:keepLines w:val="0"/>
        <w:pageBreakBefore w:val="0"/>
        <w:kinsoku/>
        <w:overflowPunct/>
        <w:topLinePunct w:val="0"/>
        <w:bidi w:val="0"/>
        <w:spacing w:beforeAutospacing="0" w:after="0" w:afterAutospacing="0" w:line="588" w:lineRule="exact"/>
        <w:ind w:firstLine="480" w:firstLineChars="200"/>
        <w:rPr>
          <w:rFonts w:ascii="宋体" w:cs="仿宋_GB2312"/>
          <w:sz w:val="24"/>
        </w:rPr>
      </w:pPr>
      <w:r>
        <w:rPr>
          <w:rFonts w:hint="eastAsia" w:ascii="宋体" w:hAnsi="宋体" w:cs="仿宋_GB2312"/>
          <w:sz w:val="24"/>
        </w:rPr>
        <w:t>本单位郑重声明，根据《财政部民政部中国残疾人联合会关于促进残疾人就业政府采购政策的通知》（财库〔</w:t>
      </w:r>
      <w:r>
        <w:rPr>
          <w:rFonts w:ascii="宋体" w:hAnsi="宋体" w:cs="仿宋_GB2312"/>
          <w:sz w:val="24"/>
        </w:rPr>
        <w:t>2017</w:t>
      </w:r>
      <w:r>
        <w:rPr>
          <w:rFonts w:hint="eastAsia" w:ascii="宋体" w:hAnsi="宋体" w:cs="仿宋_GB2312"/>
          <w:sz w:val="24"/>
        </w:rPr>
        <w:t>〕</w:t>
      </w:r>
      <w:r>
        <w:rPr>
          <w:rFonts w:ascii="宋体" w:hAnsi="宋体" w:cs="仿宋_GB2312"/>
          <w:sz w:val="24"/>
        </w:rPr>
        <w:t xml:space="preserve"> 141</w:t>
      </w:r>
      <w:r>
        <w:rPr>
          <w:rFonts w:hint="eastAsia" w:ascii="宋体" w:hAnsi="宋体" w:cs="仿宋_GB2312"/>
          <w:sz w:val="24"/>
        </w:rPr>
        <w:t>号）的规定，本单位为符合条件的残疾人福利性单位，且本单位参加</w:t>
      </w:r>
      <w:r>
        <w:rPr>
          <w:rFonts w:ascii="宋体" w:hAnsi="宋体" w:cs="仿宋_GB2312"/>
          <w:sz w:val="24"/>
        </w:rPr>
        <w:t>______</w:t>
      </w:r>
      <w:r>
        <w:rPr>
          <w:rFonts w:hint="eastAsia" w:ascii="宋体" w:hAnsi="宋体" w:cs="仿宋_GB2312"/>
          <w:sz w:val="24"/>
        </w:rPr>
        <w:t>单位的</w:t>
      </w:r>
      <w:r>
        <w:rPr>
          <w:rFonts w:ascii="宋体" w:hAnsi="宋体" w:cs="仿宋_GB2312"/>
          <w:sz w:val="24"/>
        </w:rPr>
        <w:t>______</w:t>
      </w:r>
      <w:r>
        <w:rPr>
          <w:rFonts w:hint="eastAsia" w:ascii="宋体" w:hAnsi="宋体" w:cs="仿宋_GB2312"/>
          <w:sz w:val="24"/>
        </w:rPr>
        <w:t>项目采购活动提供的是本单位制造货物（由本单位承担工程</w:t>
      </w:r>
      <w:r>
        <w:rPr>
          <w:rFonts w:ascii="宋体" w:hAnsi="宋体" w:cs="仿宋_GB2312"/>
          <w:sz w:val="24"/>
        </w:rPr>
        <w:t>/</w:t>
      </w:r>
      <w:r>
        <w:rPr>
          <w:rFonts w:hint="eastAsia" w:ascii="宋体" w:hAnsi="宋体" w:cs="仿宋_GB2312"/>
          <w:sz w:val="24"/>
        </w:rPr>
        <w:t>提供服务）。</w:t>
      </w:r>
    </w:p>
    <w:p w14:paraId="179B4638">
      <w:pPr>
        <w:keepNext w:val="0"/>
        <w:keepLines w:val="0"/>
        <w:pageBreakBefore w:val="0"/>
        <w:kinsoku/>
        <w:overflowPunct/>
        <w:topLinePunct w:val="0"/>
        <w:bidi w:val="0"/>
        <w:spacing w:beforeAutospacing="0" w:after="0" w:afterAutospacing="0" w:line="588" w:lineRule="exact"/>
        <w:ind w:firstLine="480" w:firstLineChars="200"/>
        <w:rPr>
          <w:rFonts w:ascii="宋体" w:cs="仿宋_GB2312"/>
          <w:sz w:val="24"/>
        </w:rPr>
      </w:pPr>
      <w:r>
        <w:rPr>
          <w:rFonts w:hint="eastAsia" w:ascii="宋体" w:hAnsi="宋体" w:cs="仿宋_GB2312"/>
          <w:sz w:val="24"/>
        </w:rPr>
        <w:t>本单位对上述声明的真实性负责。如有虚假，将依法承担相应责任。</w:t>
      </w:r>
    </w:p>
    <w:p w14:paraId="6AD04DEC">
      <w:pPr>
        <w:keepNext w:val="0"/>
        <w:keepLines w:val="0"/>
        <w:pageBreakBefore w:val="0"/>
        <w:kinsoku/>
        <w:overflowPunct/>
        <w:topLinePunct w:val="0"/>
        <w:bidi w:val="0"/>
        <w:spacing w:beforeAutospacing="0" w:after="0" w:afterAutospacing="0" w:line="588" w:lineRule="exact"/>
        <w:ind w:firstLine="480" w:firstLineChars="200"/>
        <w:rPr>
          <w:rFonts w:ascii="宋体" w:cs="仿宋_GB2312"/>
          <w:sz w:val="24"/>
        </w:rPr>
      </w:pPr>
    </w:p>
    <w:p w14:paraId="6FAEA213">
      <w:pPr>
        <w:keepNext w:val="0"/>
        <w:keepLines w:val="0"/>
        <w:pageBreakBefore w:val="0"/>
        <w:kinsoku/>
        <w:overflowPunct/>
        <w:topLinePunct w:val="0"/>
        <w:bidi w:val="0"/>
        <w:spacing w:beforeAutospacing="0" w:after="0" w:afterAutospacing="0" w:line="588" w:lineRule="exact"/>
        <w:ind w:firstLine="480" w:firstLineChars="200"/>
        <w:rPr>
          <w:rFonts w:ascii="宋体" w:cs="仿宋_GB2312"/>
          <w:sz w:val="24"/>
        </w:rPr>
      </w:pPr>
    </w:p>
    <w:p w14:paraId="6CC1DF72">
      <w:pPr>
        <w:keepNext w:val="0"/>
        <w:keepLines w:val="0"/>
        <w:pageBreakBefore w:val="0"/>
        <w:tabs>
          <w:tab w:val="left" w:pos="4860"/>
        </w:tabs>
        <w:kinsoku/>
        <w:overflowPunct/>
        <w:topLinePunct w:val="0"/>
        <w:bidi w:val="0"/>
        <w:spacing w:beforeAutospacing="0" w:after="0" w:afterAutospacing="0" w:line="588" w:lineRule="exact"/>
        <w:ind w:right="1560" w:firstLine="480" w:firstLineChars="200"/>
        <w:jc w:val="center"/>
        <w:rPr>
          <w:rFonts w:ascii="宋体" w:cs="仿宋_GB2312"/>
          <w:sz w:val="24"/>
        </w:rPr>
      </w:pPr>
      <w:r>
        <w:rPr>
          <w:rFonts w:hint="eastAsia" w:ascii="宋体" w:hAnsi="宋体" w:cs="仿宋_GB2312"/>
          <w:sz w:val="24"/>
        </w:rPr>
        <w:t>单位名称（盖章）：</w:t>
      </w:r>
    </w:p>
    <w:p w14:paraId="4B0653CC">
      <w:pPr>
        <w:keepNext w:val="0"/>
        <w:keepLines w:val="0"/>
        <w:pageBreakBefore w:val="0"/>
        <w:tabs>
          <w:tab w:val="left" w:pos="4860"/>
        </w:tabs>
        <w:kinsoku/>
        <w:overflowPunct/>
        <w:topLinePunct w:val="0"/>
        <w:bidi w:val="0"/>
        <w:spacing w:beforeAutospacing="0" w:after="0" w:afterAutospacing="0" w:line="588" w:lineRule="exact"/>
        <w:ind w:right="1560" w:firstLine="480" w:firstLineChars="200"/>
        <w:jc w:val="center"/>
        <w:rPr>
          <w:rFonts w:ascii="宋体" w:cs="仿宋_GB2312"/>
          <w:sz w:val="24"/>
        </w:rPr>
      </w:pPr>
      <w:r>
        <w:rPr>
          <w:rFonts w:hint="eastAsia" w:ascii="宋体" w:hAnsi="宋体" w:cs="仿宋_GB2312"/>
          <w:sz w:val="24"/>
        </w:rPr>
        <w:t>日期：</w:t>
      </w:r>
    </w:p>
    <w:p w14:paraId="7E1D6F66">
      <w:pPr>
        <w:keepNext w:val="0"/>
        <w:keepLines w:val="0"/>
        <w:pageBreakBefore w:val="0"/>
        <w:kinsoku/>
        <w:overflowPunct/>
        <w:topLinePunct w:val="0"/>
        <w:bidi w:val="0"/>
        <w:spacing w:beforeAutospacing="0" w:after="0" w:afterAutospacing="0"/>
        <w:rPr>
          <w:rFonts w:ascii="宋体" w:hAnsi="宋体" w:cs="宋体"/>
          <w:b/>
          <w:bCs/>
          <w:sz w:val="24"/>
          <w:szCs w:val="24"/>
        </w:rPr>
      </w:pPr>
      <w:r>
        <w:rPr>
          <w:rFonts w:ascii="宋体" w:hAnsi="宋体" w:cs="宋体"/>
          <w:b/>
          <w:bCs/>
          <w:sz w:val="24"/>
          <w:szCs w:val="24"/>
        </w:rPr>
        <w:br w:type="page"/>
      </w:r>
    </w:p>
    <w:p w14:paraId="218E7BC1">
      <w:pPr>
        <w:keepNext w:val="0"/>
        <w:keepLines w:val="0"/>
        <w:pageBreakBefore w:val="0"/>
        <w:kinsoku/>
        <w:overflowPunct/>
        <w:topLinePunct w:val="0"/>
        <w:bidi w:val="0"/>
        <w:snapToGrid w:val="0"/>
        <w:spacing w:beforeAutospacing="0" w:after="0" w:afterAutospacing="0" w:line="360" w:lineRule="auto"/>
        <w:jc w:val="left"/>
        <w:outlineLvl w:val="2"/>
        <w:rPr>
          <w:rFonts w:ascii="宋体" w:hAnsi="宋体"/>
          <w:b/>
          <w:sz w:val="24"/>
        </w:rPr>
      </w:pPr>
      <w:r>
        <w:rPr>
          <w:rFonts w:hint="eastAsia" w:ascii="宋体" w:hAnsi="宋体"/>
          <w:b/>
          <w:sz w:val="24"/>
        </w:rPr>
        <w:t>附件2.7</w:t>
      </w:r>
    </w:p>
    <w:p w14:paraId="7700C0F5">
      <w:pPr>
        <w:keepNext w:val="0"/>
        <w:keepLines w:val="0"/>
        <w:pageBreakBefore w:val="0"/>
        <w:kinsoku/>
        <w:overflowPunct/>
        <w:topLinePunct w:val="0"/>
        <w:bidi w:val="0"/>
        <w:snapToGrid w:val="0"/>
        <w:spacing w:beforeAutospacing="0" w:after="0" w:afterAutospacing="0"/>
        <w:jc w:val="center"/>
        <w:rPr>
          <w:rFonts w:ascii="宋体"/>
          <w:b/>
          <w:sz w:val="32"/>
          <w:szCs w:val="32"/>
        </w:rPr>
      </w:pPr>
      <w:r>
        <w:rPr>
          <w:rFonts w:hint="eastAsia" w:ascii="宋体"/>
          <w:b/>
          <w:sz w:val="32"/>
          <w:szCs w:val="32"/>
        </w:rPr>
        <w:t>投标过往类似业绩表</w:t>
      </w:r>
    </w:p>
    <w:p w14:paraId="4A098A64">
      <w:pPr>
        <w:keepNext w:val="0"/>
        <w:keepLines w:val="0"/>
        <w:pageBreakBefore w:val="0"/>
        <w:kinsoku/>
        <w:overflowPunct/>
        <w:topLinePunct w:val="0"/>
        <w:bidi w:val="0"/>
        <w:spacing w:beforeAutospacing="0" w:after="0" w:afterAutospacing="0"/>
        <w:rPr>
          <w:sz w:val="24"/>
        </w:rPr>
      </w:pPr>
      <w:r>
        <w:rPr>
          <w:rFonts w:hint="eastAsia"/>
          <w:sz w:val="24"/>
        </w:rPr>
        <w:t>投标人名称（盖章）：</w:t>
      </w:r>
    </w:p>
    <w:p w14:paraId="3BFEF8EB">
      <w:pPr>
        <w:keepNext w:val="0"/>
        <w:keepLines w:val="0"/>
        <w:pageBreakBefore w:val="0"/>
        <w:kinsoku/>
        <w:overflowPunct/>
        <w:topLinePunct w:val="0"/>
        <w:bidi w:val="0"/>
        <w:spacing w:beforeAutospacing="0" w:after="0" w:afterAutospacing="0"/>
        <w:rPr>
          <w:sz w:val="24"/>
          <w:u w:val="single"/>
        </w:rPr>
      </w:pPr>
      <w:r>
        <w:rPr>
          <w:rFonts w:hint="eastAsia"/>
          <w:sz w:val="24"/>
        </w:rPr>
        <w:t>招标编号：</w:t>
      </w:r>
    </w:p>
    <w:tbl>
      <w:tblPr>
        <w:tblStyle w:val="49"/>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322"/>
        <w:gridCol w:w="1249"/>
        <w:gridCol w:w="1276"/>
        <w:gridCol w:w="1276"/>
        <w:gridCol w:w="1134"/>
        <w:gridCol w:w="1275"/>
        <w:gridCol w:w="795"/>
      </w:tblGrid>
      <w:tr w14:paraId="4761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781CD9A7">
            <w:pPr>
              <w:keepNext w:val="0"/>
              <w:keepLines w:val="0"/>
              <w:pageBreakBefore w:val="0"/>
              <w:kinsoku/>
              <w:overflowPunct/>
              <w:topLinePunct w:val="0"/>
              <w:bidi w:val="0"/>
              <w:spacing w:beforeAutospacing="0" w:after="0" w:afterAutospacing="0"/>
              <w:jc w:val="center"/>
              <w:rPr>
                <w:rFonts w:ascii="宋体"/>
                <w:sz w:val="24"/>
              </w:rPr>
            </w:pPr>
            <w:r>
              <w:rPr>
                <w:rFonts w:hint="eastAsia" w:ascii="宋体"/>
                <w:sz w:val="24"/>
              </w:rPr>
              <w:t>序号</w:t>
            </w:r>
          </w:p>
        </w:tc>
        <w:tc>
          <w:tcPr>
            <w:tcW w:w="1322" w:type="dxa"/>
            <w:tcBorders>
              <w:top w:val="single" w:color="auto" w:sz="4" w:space="0"/>
              <w:left w:val="single" w:color="auto" w:sz="4" w:space="0"/>
              <w:bottom w:val="single" w:color="auto" w:sz="4" w:space="0"/>
              <w:right w:val="single" w:color="auto" w:sz="4" w:space="0"/>
            </w:tcBorders>
            <w:vAlign w:val="center"/>
          </w:tcPr>
          <w:p w14:paraId="6DCFC0C9">
            <w:pPr>
              <w:keepNext w:val="0"/>
              <w:keepLines w:val="0"/>
              <w:pageBreakBefore w:val="0"/>
              <w:kinsoku/>
              <w:overflowPunct/>
              <w:topLinePunct w:val="0"/>
              <w:bidi w:val="0"/>
              <w:spacing w:beforeAutospacing="0" w:after="0" w:afterAutospacing="0"/>
              <w:jc w:val="center"/>
              <w:rPr>
                <w:rFonts w:ascii="宋体"/>
                <w:sz w:val="24"/>
              </w:rPr>
            </w:pPr>
            <w:r>
              <w:rPr>
                <w:rFonts w:hint="eastAsia" w:ascii="宋体"/>
                <w:sz w:val="24"/>
              </w:rPr>
              <w:t>用户名称</w:t>
            </w:r>
          </w:p>
        </w:tc>
        <w:tc>
          <w:tcPr>
            <w:tcW w:w="1249" w:type="dxa"/>
            <w:tcBorders>
              <w:top w:val="single" w:color="auto" w:sz="4" w:space="0"/>
              <w:left w:val="single" w:color="auto" w:sz="4" w:space="0"/>
              <w:bottom w:val="single" w:color="auto" w:sz="4" w:space="0"/>
              <w:right w:val="single" w:color="auto" w:sz="4" w:space="0"/>
            </w:tcBorders>
            <w:vAlign w:val="center"/>
          </w:tcPr>
          <w:p w14:paraId="7C2E86FD">
            <w:pPr>
              <w:keepNext w:val="0"/>
              <w:keepLines w:val="0"/>
              <w:pageBreakBefore w:val="0"/>
              <w:kinsoku/>
              <w:overflowPunct/>
              <w:topLinePunct w:val="0"/>
              <w:bidi w:val="0"/>
              <w:spacing w:beforeAutospacing="0" w:after="0" w:afterAutospacing="0"/>
              <w:jc w:val="center"/>
              <w:rPr>
                <w:rFonts w:ascii="宋体"/>
                <w:sz w:val="24"/>
              </w:rPr>
            </w:pPr>
            <w:r>
              <w:rPr>
                <w:rFonts w:hint="eastAsia" w:ascii="宋体"/>
                <w:sz w:val="24"/>
              </w:rPr>
              <w:t>项目名称</w:t>
            </w:r>
          </w:p>
        </w:tc>
        <w:tc>
          <w:tcPr>
            <w:tcW w:w="1276" w:type="dxa"/>
            <w:tcBorders>
              <w:top w:val="single" w:color="auto" w:sz="4" w:space="0"/>
              <w:left w:val="single" w:color="auto" w:sz="4" w:space="0"/>
              <w:bottom w:val="single" w:color="auto" w:sz="4" w:space="0"/>
              <w:right w:val="single" w:color="auto" w:sz="4" w:space="0"/>
            </w:tcBorders>
            <w:vAlign w:val="center"/>
          </w:tcPr>
          <w:p w14:paraId="580C8543">
            <w:pPr>
              <w:keepNext w:val="0"/>
              <w:keepLines w:val="0"/>
              <w:pageBreakBefore w:val="0"/>
              <w:widowControl/>
              <w:kinsoku/>
              <w:overflowPunct/>
              <w:topLinePunct w:val="0"/>
              <w:bidi w:val="0"/>
              <w:spacing w:beforeAutospacing="0" w:after="0" w:afterAutospacing="0"/>
              <w:rPr>
                <w:rFonts w:ascii="宋体" w:cs="宋体"/>
                <w:kern w:val="0"/>
                <w:sz w:val="24"/>
              </w:rPr>
            </w:pPr>
            <w:r>
              <w:rPr>
                <w:rFonts w:hint="eastAsia" w:ascii="宋体" w:cs="宋体"/>
                <w:kern w:val="0"/>
                <w:sz w:val="24"/>
              </w:rPr>
              <w:t>合同金额</w:t>
            </w:r>
          </w:p>
        </w:tc>
        <w:tc>
          <w:tcPr>
            <w:tcW w:w="1276" w:type="dxa"/>
            <w:tcBorders>
              <w:top w:val="single" w:color="auto" w:sz="4" w:space="0"/>
              <w:left w:val="single" w:color="auto" w:sz="4" w:space="0"/>
              <w:bottom w:val="single" w:color="auto" w:sz="4" w:space="0"/>
              <w:right w:val="single" w:color="auto" w:sz="4" w:space="0"/>
            </w:tcBorders>
            <w:vAlign w:val="center"/>
          </w:tcPr>
          <w:p w14:paraId="0F5AE2DC">
            <w:pPr>
              <w:keepNext w:val="0"/>
              <w:keepLines w:val="0"/>
              <w:pageBreakBefore w:val="0"/>
              <w:widowControl/>
              <w:kinsoku/>
              <w:overflowPunct/>
              <w:topLinePunct w:val="0"/>
              <w:bidi w:val="0"/>
              <w:spacing w:beforeAutospacing="0" w:after="0" w:afterAutospacing="0"/>
              <w:jc w:val="center"/>
              <w:rPr>
                <w:rFonts w:ascii="宋体" w:cs="宋体"/>
                <w:kern w:val="0"/>
                <w:sz w:val="24"/>
              </w:rPr>
            </w:pPr>
            <w:r>
              <w:rPr>
                <w:rFonts w:hint="eastAsia" w:ascii="宋体" w:cs="宋体"/>
                <w:kern w:val="0"/>
                <w:sz w:val="24"/>
              </w:rPr>
              <w:t>合同时间</w:t>
            </w:r>
          </w:p>
        </w:tc>
        <w:tc>
          <w:tcPr>
            <w:tcW w:w="1134" w:type="dxa"/>
            <w:tcBorders>
              <w:top w:val="single" w:color="auto" w:sz="4" w:space="0"/>
              <w:left w:val="single" w:color="auto" w:sz="4" w:space="0"/>
              <w:bottom w:val="single" w:color="auto" w:sz="4" w:space="0"/>
              <w:right w:val="single" w:color="auto" w:sz="4" w:space="0"/>
            </w:tcBorders>
            <w:vAlign w:val="center"/>
          </w:tcPr>
          <w:p w14:paraId="6C628632">
            <w:pPr>
              <w:keepNext w:val="0"/>
              <w:keepLines w:val="0"/>
              <w:pageBreakBefore w:val="0"/>
              <w:widowControl/>
              <w:kinsoku/>
              <w:overflowPunct/>
              <w:topLinePunct w:val="0"/>
              <w:bidi w:val="0"/>
              <w:spacing w:beforeAutospacing="0" w:after="0" w:afterAutospacing="0"/>
              <w:jc w:val="center"/>
              <w:rPr>
                <w:rFonts w:ascii="宋体" w:cs="宋体"/>
                <w:kern w:val="0"/>
                <w:sz w:val="24"/>
              </w:rPr>
            </w:pPr>
            <w:r>
              <w:rPr>
                <w:rFonts w:hint="eastAsia" w:ascii="宋体" w:cs="宋体"/>
                <w:kern w:val="0"/>
                <w:sz w:val="24"/>
              </w:rPr>
              <w:t>联系人</w:t>
            </w:r>
          </w:p>
        </w:tc>
        <w:tc>
          <w:tcPr>
            <w:tcW w:w="1275" w:type="dxa"/>
            <w:tcBorders>
              <w:top w:val="single" w:color="auto" w:sz="4" w:space="0"/>
              <w:left w:val="single" w:color="auto" w:sz="4" w:space="0"/>
              <w:bottom w:val="single" w:color="auto" w:sz="4" w:space="0"/>
              <w:right w:val="single" w:color="auto" w:sz="4" w:space="0"/>
            </w:tcBorders>
            <w:vAlign w:val="center"/>
          </w:tcPr>
          <w:p w14:paraId="0A644CD3">
            <w:pPr>
              <w:keepNext w:val="0"/>
              <w:keepLines w:val="0"/>
              <w:pageBreakBefore w:val="0"/>
              <w:widowControl/>
              <w:kinsoku/>
              <w:overflowPunct/>
              <w:topLinePunct w:val="0"/>
              <w:bidi w:val="0"/>
              <w:spacing w:beforeAutospacing="0" w:after="0" w:afterAutospacing="0"/>
              <w:jc w:val="center"/>
              <w:rPr>
                <w:rFonts w:ascii="宋体" w:cs="宋体"/>
                <w:kern w:val="0"/>
                <w:sz w:val="24"/>
              </w:rPr>
            </w:pPr>
            <w:r>
              <w:rPr>
                <w:rFonts w:hint="eastAsia" w:ascii="宋体" w:cs="宋体"/>
                <w:kern w:val="0"/>
                <w:sz w:val="24"/>
              </w:rPr>
              <w:t>联系电话</w:t>
            </w:r>
          </w:p>
        </w:tc>
        <w:tc>
          <w:tcPr>
            <w:tcW w:w="795" w:type="dxa"/>
            <w:tcBorders>
              <w:top w:val="single" w:color="auto" w:sz="4" w:space="0"/>
              <w:left w:val="single" w:color="auto" w:sz="4" w:space="0"/>
              <w:bottom w:val="single" w:color="auto" w:sz="4" w:space="0"/>
              <w:right w:val="single" w:color="auto" w:sz="4" w:space="0"/>
            </w:tcBorders>
            <w:vAlign w:val="center"/>
          </w:tcPr>
          <w:p w14:paraId="78DADFF1">
            <w:pPr>
              <w:keepNext w:val="0"/>
              <w:keepLines w:val="0"/>
              <w:pageBreakBefore w:val="0"/>
              <w:widowControl/>
              <w:kinsoku/>
              <w:overflowPunct/>
              <w:topLinePunct w:val="0"/>
              <w:bidi w:val="0"/>
              <w:spacing w:beforeAutospacing="0" w:after="0" w:afterAutospacing="0"/>
              <w:jc w:val="center"/>
              <w:rPr>
                <w:rFonts w:ascii="宋体" w:cs="宋体"/>
                <w:kern w:val="0"/>
                <w:sz w:val="24"/>
              </w:rPr>
            </w:pPr>
            <w:r>
              <w:rPr>
                <w:rFonts w:hint="eastAsia" w:ascii="宋体" w:cs="宋体"/>
                <w:kern w:val="0"/>
                <w:sz w:val="24"/>
              </w:rPr>
              <w:t>备注</w:t>
            </w:r>
          </w:p>
        </w:tc>
      </w:tr>
      <w:tr w14:paraId="67822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1070AC3D">
            <w:pPr>
              <w:keepNext w:val="0"/>
              <w:keepLines w:val="0"/>
              <w:pageBreakBefore w:val="0"/>
              <w:kinsoku/>
              <w:overflowPunct/>
              <w:topLinePunct w:val="0"/>
              <w:bidi w:val="0"/>
              <w:spacing w:beforeAutospacing="0" w:after="0" w:afterAutospacing="0"/>
              <w:jc w:val="center"/>
              <w:rPr>
                <w:rFonts w:ascii="宋体"/>
                <w:sz w:val="24"/>
              </w:rPr>
            </w:pPr>
          </w:p>
        </w:tc>
        <w:tc>
          <w:tcPr>
            <w:tcW w:w="1322" w:type="dxa"/>
            <w:tcBorders>
              <w:top w:val="single" w:color="auto" w:sz="4" w:space="0"/>
              <w:left w:val="single" w:color="auto" w:sz="4" w:space="0"/>
              <w:bottom w:val="single" w:color="auto" w:sz="4" w:space="0"/>
              <w:right w:val="single" w:color="auto" w:sz="4" w:space="0"/>
            </w:tcBorders>
            <w:vAlign w:val="center"/>
          </w:tcPr>
          <w:p w14:paraId="19031FCE">
            <w:pPr>
              <w:keepNext w:val="0"/>
              <w:keepLines w:val="0"/>
              <w:pageBreakBefore w:val="0"/>
              <w:kinsoku/>
              <w:overflowPunct/>
              <w:topLinePunct w:val="0"/>
              <w:bidi w:val="0"/>
              <w:spacing w:beforeAutospacing="0" w:after="0" w:afterAutospacing="0"/>
              <w:jc w:val="center"/>
              <w:rPr>
                <w:rFonts w:ascii="宋体"/>
                <w:sz w:val="24"/>
              </w:rPr>
            </w:pPr>
          </w:p>
        </w:tc>
        <w:tc>
          <w:tcPr>
            <w:tcW w:w="1249" w:type="dxa"/>
            <w:tcBorders>
              <w:top w:val="single" w:color="auto" w:sz="4" w:space="0"/>
              <w:left w:val="single" w:color="auto" w:sz="4" w:space="0"/>
              <w:bottom w:val="single" w:color="auto" w:sz="4" w:space="0"/>
              <w:right w:val="single" w:color="auto" w:sz="4" w:space="0"/>
            </w:tcBorders>
            <w:vAlign w:val="center"/>
          </w:tcPr>
          <w:p w14:paraId="5C5678C9">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ADAD4BB">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95316A5">
            <w:pPr>
              <w:keepNext w:val="0"/>
              <w:keepLines w:val="0"/>
              <w:pageBreakBefore w:val="0"/>
              <w:kinsoku/>
              <w:overflowPunct/>
              <w:topLinePunct w:val="0"/>
              <w:bidi w:val="0"/>
              <w:spacing w:beforeAutospacing="0" w:after="0" w:afterAutospacing="0"/>
              <w:jc w:val="center"/>
              <w:rPr>
                <w:rFonts w:asci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73F86525">
            <w:pPr>
              <w:keepNext w:val="0"/>
              <w:keepLines w:val="0"/>
              <w:pageBreakBefore w:val="0"/>
              <w:kinsoku/>
              <w:overflowPunct/>
              <w:topLinePunct w:val="0"/>
              <w:bidi w:val="0"/>
              <w:spacing w:beforeAutospacing="0" w:after="0" w:afterAutospacing="0"/>
              <w:jc w:val="center"/>
              <w:rPr>
                <w:rFonts w:ascii="宋体"/>
                <w:sz w:val="24"/>
              </w:rPr>
            </w:pPr>
          </w:p>
        </w:tc>
        <w:tc>
          <w:tcPr>
            <w:tcW w:w="1275" w:type="dxa"/>
            <w:tcBorders>
              <w:top w:val="single" w:color="auto" w:sz="4" w:space="0"/>
              <w:left w:val="single" w:color="auto" w:sz="4" w:space="0"/>
              <w:bottom w:val="single" w:color="auto" w:sz="4" w:space="0"/>
              <w:right w:val="single" w:color="auto" w:sz="4" w:space="0"/>
            </w:tcBorders>
            <w:vAlign w:val="center"/>
          </w:tcPr>
          <w:p w14:paraId="00F67B1D">
            <w:pPr>
              <w:keepNext w:val="0"/>
              <w:keepLines w:val="0"/>
              <w:pageBreakBefore w:val="0"/>
              <w:kinsoku/>
              <w:overflowPunct/>
              <w:topLinePunct w:val="0"/>
              <w:bidi w:val="0"/>
              <w:spacing w:beforeAutospacing="0" w:after="0" w:afterAutospacing="0"/>
              <w:jc w:val="center"/>
              <w:rPr>
                <w:rFonts w:ascii="宋体"/>
                <w:sz w:val="24"/>
              </w:rPr>
            </w:pPr>
          </w:p>
        </w:tc>
        <w:tc>
          <w:tcPr>
            <w:tcW w:w="795" w:type="dxa"/>
            <w:tcBorders>
              <w:top w:val="single" w:color="auto" w:sz="4" w:space="0"/>
              <w:left w:val="single" w:color="auto" w:sz="4" w:space="0"/>
              <w:bottom w:val="single" w:color="auto" w:sz="4" w:space="0"/>
              <w:right w:val="single" w:color="auto" w:sz="4" w:space="0"/>
            </w:tcBorders>
            <w:vAlign w:val="center"/>
          </w:tcPr>
          <w:p w14:paraId="07863A60">
            <w:pPr>
              <w:keepNext w:val="0"/>
              <w:keepLines w:val="0"/>
              <w:pageBreakBefore w:val="0"/>
              <w:kinsoku/>
              <w:overflowPunct/>
              <w:topLinePunct w:val="0"/>
              <w:bidi w:val="0"/>
              <w:spacing w:beforeAutospacing="0" w:after="0" w:afterAutospacing="0"/>
              <w:jc w:val="center"/>
              <w:rPr>
                <w:rFonts w:ascii="宋体"/>
                <w:sz w:val="24"/>
              </w:rPr>
            </w:pPr>
          </w:p>
        </w:tc>
      </w:tr>
      <w:tr w14:paraId="19D6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646557D5">
            <w:pPr>
              <w:keepNext w:val="0"/>
              <w:keepLines w:val="0"/>
              <w:pageBreakBefore w:val="0"/>
              <w:kinsoku/>
              <w:overflowPunct/>
              <w:topLinePunct w:val="0"/>
              <w:bidi w:val="0"/>
              <w:spacing w:beforeAutospacing="0" w:after="0" w:afterAutospacing="0"/>
              <w:jc w:val="center"/>
              <w:rPr>
                <w:rFonts w:ascii="宋体"/>
                <w:sz w:val="24"/>
              </w:rPr>
            </w:pPr>
          </w:p>
        </w:tc>
        <w:tc>
          <w:tcPr>
            <w:tcW w:w="1322" w:type="dxa"/>
            <w:tcBorders>
              <w:top w:val="single" w:color="auto" w:sz="4" w:space="0"/>
              <w:left w:val="single" w:color="auto" w:sz="4" w:space="0"/>
              <w:bottom w:val="single" w:color="auto" w:sz="4" w:space="0"/>
              <w:right w:val="single" w:color="auto" w:sz="4" w:space="0"/>
            </w:tcBorders>
            <w:vAlign w:val="center"/>
          </w:tcPr>
          <w:p w14:paraId="0C4FE9AF">
            <w:pPr>
              <w:keepNext w:val="0"/>
              <w:keepLines w:val="0"/>
              <w:pageBreakBefore w:val="0"/>
              <w:kinsoku/>
              <w:overflowPunct/>
              <w:topLinePunct w:val="0"/>
              <w:bidi w:val="0"/>
              <w:spacing w:beforeAutospacing="0" w:after="0" w:afterAutospacing="0"/>
              <w:jc w:val="center"/>
              <w:rPr>
                <w:rFonts w:ascii="宋体"/>
                <w:sz w:val="24"/>
              </w:rPr>
            </w:pPr>
          </w:p>
        </w:tc>
        <w:tc>
          <w:tcPr>
            <w:tcW w:w="1249" w:type="dxa"/>
            <w:tcBorders>
              <w:top w:val="single" w:color="auto" w:sz="4" w:space="0"/>
              <w:left w:val="single" w:color="auto" w:sz="4" w:space="0"/>
              <w:bottom w:val="single" w:color="auto" w:sz="4" w:space="0"/>
              <w:right w:val="single" w:color="auto" w:sz="4" w:space="0"/>
            </w:tcBorders>
            <w:vAlign w:val="center"/>
          </w:tcPr>
          <w:p w14:paraId="27F8C4A6">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0714C79F">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3BED0653">
            <w:pPr>
              <w:keepNext w:val="0"/>
              <w:keepLines w:val="0"/>
              <w:pageBreakBefore w:val="0"/>
              <w:kinsoku/>
              <w:overflowPunct/>
              <w:topLinePunct w:val="0"/>
              <w:bidi w:val="0"/>
              <w:spacing w:beforeAutospacing="0" w:after="0" w:afterAutospacing="0"/>
              <w:jc w:val="center"/>
              <w:rPr>
                <w:rFonts w:asci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26519003">
            <w:pPr>
              <w:keepNext w:val="0"/>
              <w:keepLines w:val="0"/>
              <w:pageBreakBefore w:val="0"/>
              <w:kinsoku/>
              <w:overflowPunct/>
              <w:topLinePunct w:val="0"/>
              <w:bidi w:val="0"/>
              <w:spacing w:beforeAutospacing="0" w:after="0" w:afterAutospacing="0"/>
              <w:jc w:val="center"/>
              <w:rPr>
                <w:rFonts w:ascii="宋体"/>
                <w:sz w:val="24"/>
              </w:rPr>
            </w:pPr>
          </w:p>
        </w:tc>
        <w:tc>
          <w:tcPr>
            <w:tcW w:w="1275" w:type="dxa"/>
            <w:tcBorders>
              <w:top w:val="single" w:color="auto" w:sz="4" w:space="0"/>
              <w:left w:val="single" w:color="auto" w:sz="4" w:space="0"/>
              <w:bottom w:val="single" w:color="auto" w:sz="4" w:space="0"/>
              <w:right w:val="single" w:color="auto" w:sz="4" w:space="0"/>
            </w:tcBorders>
            <w:vAlign w:val="center"/>
          </w:tcPr>
          <w:p w14:paraId="79CFC12A">
            <w:pPr>
              <w:keepNext w:val="0"/>
              <w:keepLines w:val="0"/>
              <w:pageBreakBefore w:val="0"/>
              <w:kinsoku/>
              <w:overflowPunct/>
              <w:topLinePunct w:val="0"/>
              <w:bidi w:val="0"/>
              <w:spacing w:beforeAutospacing="0" w:after="0" w:afterAutospacing="0"/>
              <w:jc w:val="center"/>
              <w:rPr>
                <w:rFonts w:ascii="宋体"/>
                <w:sz w:val="24"/>
              </w:rPr>
            </w:pPr>
          </w:p>
        </w:tc>
        <w:tc>
          <w:tcPr>
            <w:tcW w:w="795" w:type="dxa"/>
            <w:tcBorders>
              <w:top w:val="single" w:color="auto" w:sz="4" w:space="0"/>
              <w:left w:val="single" w:color="auto" w:sz="4" w:space="0"/>
              <w:bottom w:val="single" w:color="auto" w:sz="4" w:space="0"/>
              <w:right w:val="single" w:color="auto" w:sz="4" w:space="0"/>
            </w:tcBorders>
            <w:vAlign w:val="center"/>
          </w:tcPr>
          <w:p w14:paraId="01DDF4C6">
            <w:pPr>
              <w:keepNext w:val="0"/>
              <w:keepLines w:val="0"/>
              <w:pageBreakBefore w:val="0"/>
              <w:kinsoku/>
              <w:overflowPunct/>
              <w:topLinePunct w:val="0"/>
              <w:bidi w:val="0"/>
              <w:spacing w:beforeAutospacing="0" w:after="0" w:afterAutospacing="0"/>
              <w:jc w:val="center"/>
              <w:rPr>
                <w:rFonts w:ascii="宋体"/>
                <w:sz w:val="24"/>
              </w:rPr>
            </w:pPr>
          </w:p>
        </w:tc>
      </w:tr>
      <w:tr w14:paraId="679A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1B540E9B">
            <w:pPr>
              <w:keepNext w:val="0"/>
              <w:keepLines w:val="0"/>
              <w:pageBreakBefore w:val="0"/>
              <w:kinsoku/>
              <w:overflowPunct/>
              <w:topLinePunct w:val="0"/>
              <w:bidi w:val="0"/>
              <w:spacing w:beforeAutospacing="0" w:after="0" w:afterAutospacing="0"/>
              <w:jc w:val="center"/>
              <w:rPr>
                <w:rFonts w:ascii="宋体"/>
                <w:sz w:val="24"/>
              </w:rPr>
            </w:pPr>
          </w:p>
        </w:tc>
        <w:tc>
          <w:tcPr>
            <w:tcW w:w="1322" w:type="dxa"/>
            <w:tcBorders>
              <w:top w:val="single" w:color="auto" w:sz="4" w:space="0"/>
              <w:left w:val="single" w:color="auto" w:sz="4" w:space="0"/>
              <w:bottom w:val="single" w:color="auto" w:sz="4" w:space="0"/>
              <w:right w:val="single" w:color="auto" w:sz="4" w:space="0"/>
            </w:tcBorders>
            <w:vAlign w:val="center"/>
          </w:tcPr>
          <w:p w14:paraId="390B4F97">
            <w:pPr>
              <w:keepNext w:val="0"/>
              <w:keepLines w:val="0"/>
              <w:pageBreakBefore w:val="0"/>
              <w:kinsoku/>
              <w:overflowPunct/>
              <w:topLinePunct w:val="0"/>
              <w:bidi w:val="0"/>
              <w:spacing w:beforeAutospacing="0" w:after="0" w:afterAutospacing="0"/>
              <w:jc w:val="center"/>
              <w:rPr>
                <w:rFonts w:ascii="宋体"/>
                <w:sz w:val="24"/>
              </w:rPr>
            </w:pPr>
          </w:p>
        </w:tc>
        <w:tc>
          <w:tcPr>
            <w:tcW w:w="1249" w:type="dxa"/>
            <w:tcBorders>
              <w:top w:val="single" w:color="auto" w:sz="4" w:space="0"/>
              <w:left w:val="single" w:color="auto" w:sz="4" w:space="0"/>
              <w:bottom w:val="single" w:color="auto" w:sz="4" w:space="0"/>
              <w:right w:val="single" w:color="auto" w:sz="4" w:space="0"/>
            </w:tcBorders>
            <w:vAlign w:val="center"/>
          </w:tcPr>
          <w:p w14:paraId="40F810C7">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E2C55BE">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040A86BA">
            <w:pPr>
              <w:keepNext w:val="0"/>
              <w:keepLines w:val="0"/>
              <w:pageBreakBefore w:val="0"/>
              <w:kinsoku/>
              <w:overflowPunct/>
              <w:topLinePunct w:val="0"/>
              <w:bidi w:val="0"/>
              <w:spacing w:beforeAutospacing="0" w:after="0" w:afterAutospacing="0"/>
              <w:jc w:val="center"/>
              <w:rPr>
                <w:rFonts w:asci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3DBB065A">
            <w:pPr>
              <w:keepNext w:val="0"/>
              <w:keepLines w:val="0"/>
              <w:pageBreakBefore w:val="0"/>
              <w:kinsoku/>
              <w:overflowPunct/>
              <w:topLinePunct w:val="0"/>
              <w:bidi w:val="0"/>
              <w:spacing w:beforeAutospacing="0" w:after="0" w:afterAutospacing="0"/>
              <w:jc w:val="center"/>
              <w:rPr>
                <w:rFonts w:ascii="宋体"/>
                <w:sz w:val="24"/>
              </w:rPr>
            </w:pPr>
          </w:p>
        </w:tc>
        <w:tc>
          <w:tcPr>
            <w:tcW w:w="1275" w:type="dxa"/>
            <w:tcBorders>
              <w:top w:val="single" w:color="auto" w:sz="4" w:space="0"/>
              <w:left w:val="single" w:color="auto" w:sz="4" w:space="0"/>
              <w:bottom w:val="single" w:color="auto" w:sz="4" w:space="0"/>
              <w:right w:val="single" w:color="auto" w:sz="4" w:space="0"/>
            </w:tcBorders>
            <w:vAlign w:val="center"/>
          </w:tcPr>
          <w:p w14:paraId="30C7BEB6">
            <w:pPr>
              <w:keepNext w:val="0"/>
              <w:keepLines w:val="0"/>
              <w:pageBreakBefore w:val="0"/>
              <w:kinsoku/>
              <w:overflowPunct/>
              <w:topLinePunct w:val="0"/>
              <w:bidi w:val="0"/>
              <w:spacing w:beforeAutospacing="0" w:after="0" w:afterAutospacing="0"/>
              <w:jc w:val="center"/>
              <w:rPr>
                <w:rFonts w:ascii="宋体"/>
                <w:sz w:val="24"/>
              </w:rPr>
            </w:pPr>
          </w:p>
        </w:tc>
        <w:tc>
          <w:tcPr>
            <w:tcW w:w="795" w:type="dxa"/>
            <w:tcBorders>
              <w:top w:val="single" w:color="auto" w:sz="4" w:space="0"/>
              <w:left w:val="single" w:color="auto" w:sz="4" w:space="0"/>
              <w:bottom w:val="single" w:color="auto" w:sz="4" w:space="0"/>
              <w:right w:val="single" w:color="auto" w:sz="4" w:space="0"/>
            </w:tcBorders>
            <w:vAlign w:val="center"/>
          </w:tcPr>
          <w:p w14:paraId="2E0A371A">
            <w:pPr>
              <w:keepNext w:val="0"/>
              <w:keepLines w:val="0"/>
              <w:pageBreakBefore w:val="0"/>
              <w:kinsoku/>
              <w:overflowPunct/>
              <w:topLinePunct w:val="0"/>
              <w:bidi w:val="0"/>
              <w:spacing w:beforeAutospacing="0" w:after="0" w:afterAutospacing="0"/>
              <w:jc w:val="center"/>
              <w:rPr>
                <w:rFonts w:ascii="宋体"/>
                <w:sz w:val="24"/>
              </w:rPr>
            </w:pPr>
          </w:p>
        </w:tc>
      </w:tr>
      <w:tr w14:paraId="31D4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509C3452">
            <w:pPr>
              <w:keepNext w:val="0"/>
              <w:keepLines w:val="0"/>
              <w:pageBreakBefore w:val="0"/>
              <w:kinsoku/>
              <w:overflowPunct/>
              <w:topLinePunct w:val="0"/>
              <w:bidi w:val="0"/>
              <w:spacing w:beforeAutospacing="0" w:after="0" w:afterAutospacing="0"/>
              <w:jc w:val="center"/>
              <w:rPr>
                <w:rFonts w:ascii="宋体"/>
                <w:sz w:val="24"/>
              </w:rPr>
            </w:pPr>
          </w:p>
        </w:tc>
        <w:tc>
          <w:tcPr>
            <w:tcW w:w="1322" w:type="dxa"/>
            <w:tcBorders>
              <w:top w:val="single" w:color="auto" w:sz="4" w:space="0"/>
              <w:left w:val="single" w:color="auto" w:sz="4" w:space="0"/>
              <w:bottom w:val="single" w:color="auto" w:sz="4" w:space="0"/>
              <w:right w:val="single" w:color="auto" w:sz="4" w:space="0"/>
            </w:tcBorders>
            <w:vAlign w:val="center"/>
          </w:tcPr>
          <w:p w14:paraId="392AA33D">
            <w:pPr>
              <w:keepNext w:val="0"/>
              <w:keepLines w:val="0"/>
              <w:pageBreakBefore w:val="0"/>
              <w:kinsoku/>
              <w:overflowPunct/>
              <w:topLinePunct w:val="0"/>
              <w:bidi w:val="0"/>
              <w:spacing w:beforeAutospacing="0" w:after="0" w:afterAutospacing="0"/>
              <w:jc w:val="center"/>
              <w:rPr>
                <w:rFonts w:ascii="宋体"/>
                <w:sz w:val="24"/>
              </w:rPr>
            </w:pPr>
          </w:p>
        </w:tc>
        <w:tc>
          <w:tcPr>
            <w:tcW w:w="1249" w:type="dxa"/>
            <w:tcBorders>
              <w:top w:val="single" w:color="auto" w:sz="4" w:space="0"/>
              <w:left w:val="single" w:color="auto" w:sz="4" w:space="0"/>
              <w:bottom w:val="single" w:color="auto" w:sz="4" w:space="0"/>
              <w:right w:val="single" w:color="auto" w:sz="4" w:space="0"/>
            </w:tcBorders>
            <w:vAlign w:val="center"/>
          </w:tcPr>
          <w:p w14:paraId="2F4779CF">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B005D5F">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052CF306">
            <w:pPr>
              <w:keepNext w:val="0"/>
              <w:keepLines w:val="0"/>
              <w:pageBreakBefore w:val="0"/>
              <w:kinsoku/>
              <w:overflowPunct/>
              <w:topLinePunct w:val="0"/>
              <w:bidi w:val="0"/>
              <w:spacing w:beforeAutospacing="0" w:after="0" w:afterAutospacing="0"/>
              <w:jc w:val="center"/>
              <w:rPr>
                <w:rFonts w:asci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10021421">
            <w:pPr>
              <w:keepNext w:val="0"/>
              <w:keepLines w:val="0"/>
              <w:pageBreakBefore w:val="0"/>
              <w:kinsoku/>
              <w:overflowPunct/>
              <w:topLinePunct w:val="0"/>
              <w:bidi w:val="0"/>
              <w:spacing w:beforeAutospacing="0" w:after="0" w:afterAutospacing="0"/>
              <w:jc w:val="center"/>
              <w:rPr>
                <w:rFonts w:ascii="宋体"/>
                <w:sz w:val="24"/>
              </w:rPr>
            </w:pPr>
          </w:p>
        </w:tc>
        <w:tc>
          <w:tcPr>
            <w:tcW w:w="1275" w:type="dxa"/>
            <w:tcBorders>
              <w:top w:val="single" w:color="auto" w:sz="4" w:space="0"/>
              <w:left w:val="single" w:color="auto" w:sz="4" w:space="0"/>
              <w:bottom w:val="single" w:color="auto" w:sz="4" w:space="0"/>
              <w:right w:val="single" w:color="auto" w:sz="4" w:space="0"/>
            </w:tcBorders>
            <w:vAlign w:val="center"/>
          </w:tcPr>
          <w:p w14:paraId="03FBA6CF">
            <w:pPr>
              <w:keepNext w:val="0"/>
              <w:keepLines w:val="0"/>
              <w:pageBreakBefore w:val="0"/>
              <w:kinsoku/>
              <w:overflowPunct/>
              <w:topLinePunct w:val="0"/>
              <w:bidi w:val="0"/>
              <w:spacing w:beforeAutospacing="0" w:after="0" w:afterAutospacing="0"/>
              <w:jc w:val="center"/>
              <w:rPr>
                <w:rFonts w:ascii="宋体"/>
                <w:sz w:val="24"/>
              </w:rPr>
            </w:pPr>
          </w:p>
        </w:tc>
        <w:tc>
          <w:tcPr>
            <w:tcW w:w="795" w:type="dxa"/>
            <w:tcBorders>
              <w:top w:val="single" w:color="auto" w:sz="4" w:space="0"/>
              <w:left w:val="single" w:color="auto" w:sz="4" w:space="0"/>
              <w:bottom w:val="single" w:color="auto" w:sz="4" w:space="0"/>
              <w:right w:val="single" w:color="auto" w:sz="4" w:space="0"/>
            </w:tcBorders>
            <w:vAlign w:val="center"/>
          </w:tcPr>
          <w:p w14:paraId="1461F212">
            <w:pPr>
              <w:keepNext w:val="0"/>
              <w:keepLines w:val="0"/>
              <w:pageBreakBefore w:val="0"/>
              <w:kinsoku/>
              <w:overflowPunct/>
              <w:topLinePunct w:val="0"/>
              <w:bidi w:val="0"/>
              <w:spacing w:beforeAutospacing="0" w:after="0" w:afterAutospacing="0"/>
              <w:jc w:val="center"/>
              <w:rPr>
                <w:rFonts w:ascii="宋体"/>
                <w:sz w:val="24"/>
              </w:rPr>
            </w:pPr>
          </w:p>
        </w:tc>
      </w:tr>
      <w:tr w14:paraId="0B21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6F902916">
            <w:pPr>
              <w:keepNext w:val="0"/>
              <w:keepLines w:val="0"/>
              <w:pageBreakBefore w:val="0"/>
              <w:kinsoku/>
              <w:overflowPunct/>
              <w:topLinePunct w:val="0"/>
              <w:bidi w:val="0"/>
              <w:spacing w:beforeAutospacing="0" w:after="0" w:afterAutospacing="0"/>
              <w:jc w:val="center"/>
              <w:rPr>
                <w:rFonts w:ascii="宋体"/>
                <w:sz w:val="24"/>
              </w:rPr>
            </w:pPr>
          </w:p>
        </w:tc>
        <w:tc>
          <w:tcPr>
            <w:tcW w:w="1322" w:type="dxa"/>
            <w:tcBorders>
              <w:top w:val="single" w:color="auto" w:sz="4" w:space="0"/>
              <w:left w:val="single" w:color="auto" w:sz="4" w:space="0"/>
              <w:bottom w:val="single" w:color="auto" w:sz="4" w:space="0"/>
              <w:right w:val="single" w:color="auto" w:sz="4" w:space="0"/>
            </w:tcBorders>
            <w:vAlign w:val="center"/>
          </w:tcPr>
          <w:p w14:paraId="0711699A">
            <w:pPr>
              <w:keepNext w:val="0"/>
              <w:keepLines w:val="0"/>
              <w:pageBreakBefore w:val="0"/>
              <w:kinsoku/>
              <w:overflowPunct/>
              <w:topLinePunct w:val="0"/>
              <w:bidi w:val="0"/>
              <w:spacing w:beforeAutospacing="0" w:after="0" w:afterAutospacing="0"/>
              <w:jc w:val="center"/>
              <w:rPr>
                <w:rFonts w:ascii="宋体"/>
                <w:sz w:val="24"/>
              </w:rPr>
            </w:pPr>
          </w:p>
        </w:tc>
        <w:tc>
          <w:tcPr>
            <w:tcW w:w="1249" w:type="dxa"/>
            <w:tcBorders>
              <w:top w:val="single" w:color="auto" w:sz="4" w:space="0"/>
              <w:left w:val="single" w:color="auto" w:sz="4" w:space="0"/>
              <w:bottom w:val="single" w:color="auto" w:sz="4" w:space="0"/>
              <w:right w:val="single" w:color="auto" w:sz="4" w:space="0"/>
            </w:tcBorders>
            <w:vAlign w:val="center"/>
          </w:tcPr>
          <w:p w14:paraId="1F7C7981">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3CDA9B45">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6763DDE7">
            <w:pPr>
              <w:keepNext w:val="0"/>
              <w:keepLines w:val="0"/>
              <w:pageBreakBefore w:val="0"/>
              <w:kinsoku/>
              <w:overflowPunct/>
              <w:topLinePunct w:val="0"/>
              <w:bidi w:val="0"/>
              <w:spacing w:beforeAutospacing="0" w:after="0" w:afterAutospacing="0"/>
              <w:jc w:val="center"/>
              <w:rPr>
                <w:rFonts w:asci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72F33BA2">
            <w:pPr>
              <w:keepNext w:val="0"/>
              <w:keepLines w:val="0"/>
              <w:pageBreakBefore w:val="0"/>
              <w:kinsoku/>
              <w:overflowPunct/>
              <w:topLinePunct w:val="0"/>
              <w:bidi w:val="0"/>
              <w:spacing w:beforeAutospacing="0" w:after="0" w:afterAutospacing="0"/>
              <w:jc w:val="center"/>
              <w:rPr>
                <w:rFonts w:ascii="宋体"/>
                <w:sz w:val="24"/>
              </w:rPr>
            </w:pPr>
          </w:p>
        </w:tc>
        <w:tc>
          <w:tcPr>
            <w:tcW w:w="1275" w:type="dxa"/>
            <w:tcBorders>
              <w:top w:val="single" w:color="auto" w:sz="4" w:space="0"/>
              <w:left w:val="single" w:color="auto" w:sz="4" w:space="0"/>
              <w:bottom w:val="single" w:color="auto" w:sz="4" w:space="0"/>
              <w:right w:val="single" w:color="auto" w:sz="4" w:space="0"/>
            </w:tcBorders>
            <w:vAlign w:val="center"/>
          </w:tcPr>
          <w:p w14:paraId="1C4FDE75">
            <w:pPr>
              <w:keepNext w:val="0"/>
              <w:keepLines w:val="0"/>
              <w:pageBreakBefore w:val="0"/>
              <w:kinsoku/>
              <w:overflowPunct/>
              <w:topLinePunct w:val="0"/>
              <w:bidi w:val="0"/>
              <w:spacing w:beforeAutospacing="0" w:after="0" w:afterAutospacing="0"/>
              <w:jc w:val="center"/>
              <w:rPr>
                <w:rFonts w:ascii="宋体"/>
                <w:sz w:val="24"/>
              </w:rPr>
            </w:pPr>
          </w:p>
        </w:tc>
        <w:tc>
          <w:tcPr>
            <w:tcW w:w="795" w:type="dxa"/>
            <w:tcBorders>
              <w:top w:val="single" w:color="auto" w:sz="4" w:space="0"/>
              <w:left w:val="single" w:color="auto" w:sz="4" w:space="0"/>
              <w:bottom w:val="single" w:color="auto" w:sz="4" w:space="0"/>
              <w:right w:val="single" w:color="auto" w:sz="4" w:space="0"/>
            </w:tcBorders>
            <w:vAlign w:val="center"/>
          </w:tcPr>
          <w:p w14:paraId="176CDF36">
            <w:pPr>
              <w:keepNext w:val="0"/>
              <w:keepLines w:val="0"/>
              <w:pageBreakBefore w:val="0"/>
              <w:kinsoku/>
              <w:overflowPunct/>
              <w:topLinePunct w:val="0"/>
              <w:bidi w:val="0"/>
              <w:spacing w:beforeAutospacing="0" w:after="0" w:afterAutospacing="0"/>
              <w:jc w:val="center"/>
              <w:rPr>
                <w:rFonts w:ascii="宋体"/>
                <w:sz w:val="24"/>
              </w:rPr>
            </w:pPr>
          </w:p>
        </w:tc>
      </w:tr>
      <w:tr w14:paraId="209B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37C9B527">
            <w:pPr>
              <w:keepNext w:val="0"/>
              <w:keepLines w:val="0"/>
              <w:pageBreakBefore w:val="0"/>
              <w:kinsoku/>
              <w:overflowPunct/>
              <w:topLinePunct w:val="0"/>
              <w:bidi w:val="0"/>
              <w:spacing w:beforeAutospacing="0" w:after="0" w:afterAutospacing="0"/>
              <w:jc w:val="center"/>
              <w:rPr>
                <w:rFonts w:ascii="宋体"/>
                <w:sz w:val="24"/>
              </w:rPr>
            </w:pPr>
          </w:p>
        </w:tc>
        <w:tc>
          <w:tcPr>
            <w:tcW w:w="1322" w:type="dxa"/>
            <w:tcBorders>
              <w:top w:val="single" w:color="auto" w:sz="4" w:space="0"/>
              <w:left w:val="single" w:color="auto" w:sz="4" w:space="0"/>
              <w:bottom w:val="single" w:color="auto" w:sz="4" w:space="0"/>
              <w:right w:val="single" w:color="auto" w:sz="4" w:space="0"/>
            </w:tcBorders>
            <w:vAlign w:val="center"/>
          </w:tcPr>
          <w:p w14:paraId="409FE52C">
            <w:pPr>
              <w:keepNext w:val="0"/>
              <w:keepLines w:val="0"/>
              <w:pageBreakBefore w:val="0"/>
              <w:kinsoku/>
              <w:overflowPunct/>
              <w:topLinePunct w:val="0"/>
              <w:bidi w:val="0"/>
              <w:spacing w:beforeAutospacing="0" w:after="0" w:afterAutospacing="0"/>
              <w:jc w:val="center"/>
              <w:rPr>
                <w:rFonts w:ascii="宋体"/>
                <w:sz w:val="24"/>
              </w:rPr>
            </w:pPr>
          </w:p>
        </w:tc>
        <w:tc>
          <w:tcPr>
            <w:tcW w:w="1249" w:type="dxa"/>
            <w:tcBorders>
              <w:top w:val="single" w:color="auto" w:sz="4" w:space="0"/>
              <w:left w:val="single" w:color="auto" w:sz="4" w:space="0"/>
              <w:bottom w:val="single" w:color="auto" w:sz="4" w:space="0"/>
              <w:right w:val="single" w:color="auto" w:sz="4" w:space="0"/>
            </w:tcBorders>
            <w:vAlign w:val="center"/>
          </w:tcPr>
          <w:p w14:paraId="05A3D285">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3D29729">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30B79FC">
            <w:pPr>
              <w:keepNext w:val="0"/>
              <w:keepLines w:val="0"/>
              <w:pageBreakBefore w:val="0"/>
              <w:kinsoku/>
              <w:overflowPunct/>
              <w:topLinePunct w:val="0"/>
              <w:bidi w:val="0"/>
              <w:spacing w:beforeAutospacing="0" w:after="0" w:afterAutospacing="0"/>
              <w:jc w:val="center"/>
              <w:rPr>
                <w:rFonts w:asci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21C1BC4A">
            <w:pPr>
              <w:keepNext w:val="0"/>
              <w:keepLines w:val="0"/>
              <w:pageBreakBefore w:val="0"/>
              <w:kinsoku/>
              <w:overflowPunct/>
              <w:topLinePunct w:val="0"/>
              <w:bidi w:val="0"/>
              <w:spacing w:beforeAutospacing="0" w:after="0" w:afterAutospacing="0"/>
              <w:jc w:val="center"/>
              <w:rPr>
                <w:rFonts w:ascii="宋体"/>
                <w:sz w:val="24"/>
              </w:rPr>
            </w:pPr>
          </w:p>
        </w:tc>
        <w:tc>
          <w:tcPr>
            <w:tcW w:w="1275" w:type="dxa"/>
            <w:tcBorders>
              <w:top w:val="single" w:color="auto" w:sz="4" w:space="0"/>
              <w:left w:val="single" w:color="auto" w:sz="4" w:space="0"/>
              <w:bottom w:val="single" w:color="auto" w:sz="4" w:space="0"/>
              <w:right w:val="single" w:color="auto" w:sz="4" w:space="0"/>
            </w:tcBorders>
            <w:vAlign w:val="center"/>
          </w:tcPr>
          <w:p w14:paraId="669A49A0">
            <w:pPr>
              <w:keepNext w:val="0"/>
              <w:keepLines w:val="0"/>
              <w:pageBreakBefore w:val="0"/>
              <w:kinsoku/>
              <w:overflowPunct/>
              <w:topLinePunct w:val="0"/>
              <w:bidi w:val="0"/>
              <w:spacing w:beforeAutospacing="0" w:after="0" w:afterAutospacing="0"/>
              <w:jc w:val="center"/>
              <w:rPr>
                <w:rFonts w:ascii="宋体"/>
                <w:sz w:val="24"/>
              </w:rPr>
            </w:pPr>
          </w:p>
        </w:tc>
        <w:tc>
          <w:tcPr>
            <w:tcW w:w="795" w:type="dxa"/>
            <w:tcBorders>
              <w:top w:val="single" w:color="auto" w:sz="4" w:space="0"/>
              <w:left w:val="single" w:color="auto" w:sz="4" w:space="0"/>
              <w:bottom w:val="single" w:color="auto" w:sz="4" w:space="0"/>
              <w:right w:val="single" w:color="auto" w:sz="4" w:space="0"/>
            </w:tcBorders>
            <w:vAlign w:val="center"/>
          </w:tcPr>
          <w:p w14:paraId="22253225">
            <w:pPr>
              <w:keepNext w:val="0"/>
              <w:keepLines w:val="0"/>
              <w:pageBreakBefore w:val="0"/>
              <w:kinsoku/>
              <w:overflowPunct/>
              <w:topLinePunct w:val="0"/>
              <w:bidi w:val="0"/>
              <w:spacing w:beforeAutospacing="0" w:after="0" w:afterAutospacing="0"/>
              <w:jc w:val="center"/>
              <w:rPr>
                <w:rFonts w:ascii="宋体"/>
                <w:sz w:val="24"/>
              </w:rPr>
            </w:pPr>
          </w:p>
        </w:tc>
      </w:tr>
      <w:tr w14:paraId="47C5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5247BD3C">
            <w:pPr>
              <w:keepNext w:val="0"/>
              <w:keepLines w:val="0"/>
              <w:pageBreakBefore w:val="0"/>
              <w:kinsoku/>
              <w:overflowPunct/>
              <w:topLinePunct w:val="0"/>
              <w:bidi w:val="0"/>
              <w:spacing w:beforeAutospacing="0" w:after="0" w:afterAutospacing="0"/>
              <w:jc w:val="center"/>
              <w:rPr>
                <w:rFonts w:ascii="宋体"/>
                <w:sz w:val="24"/>
              </w:rPr>
            </w:pPr>
          </w:p>
        </w:tc>
        <w:tc>
          <w:tcPr>
            <w:tcW w:w="1322" w:type="dxa"/>
            <w:tcBorders>
              <w:top w:val="single" w:color="auto" w:sz="4" w:space="0"/>
              <w:left w:val="single" w:color="auto" w:sz="4" w:space="0"/>
              <w:bottom w:val="single" w:color="auto" w:sz="4" w:space="0"/>
              <w:right w:val="single" w:color="auto" w:sz="4" w:space="0"/>
            </w:tcBorders>
            <w:vAlign w:val="center"/>
          </w:tcPr>
          <w:p w14:paraId="26726BD7">
            <w:pPr>
              <w:keepNext w:val="0"/>
              <w:keepLines w:val="0"/>
              <w:pageBreakBefore w:val="0"/>
              <w:kinsoku/>
              <w:overflowPunct/>
              <w:topLinePunct w:val="0"/>
              <w:bidi w:val="0"/>
              <w:spacing w:beforeAutospacing="0" w:after="0" w:afterAutospacing="0"/>
              <w:jc w:val="center"/>
              <w:rPr>
                <w:rFonts w:ascii="宋体"/>
                <w:sz w:val="24"/>
              </w:rPr>
            </w:pPr>
          </w:p>
        </w:tc>
        <w:tc>
          <w:tcPr>
            <w:tcW w:w="1249" w:type="dxa"/>
            <w:tcBorders>
              <w:top w:val="single" w:color="auto" w:sz="4" w:space="0"/>
              <w:left w:val="single" w:color="auto" w:sz="4" w:space="0"/>
              <w:bottom w:val="single" w:color="auto" w:sz="4" w:space="0"/>
              <w:right w:val="single" w:color="auto" w:sz="4" w:space="0"/>
            </w:tcBorders>
            <w:vAlign w:val="center"/>
          </w:tcPr>
          <w:p w14:paraId="47C1B61D">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04526FDF">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94349B7">
            <w:pPr>
              <w:keepNext w:val="0"/>
              <w:keepLines w:val="0"/>
              <w:pageBreakBefore w:val="0"/>
              <w:kinsoku/>
              <w:overflowPunct/>
              <w:topLinePunct w:val="0"/>
              <w:bidi w:val="0"/>
              <w:spacing w:beforeAutospacing="0" w:after="0" w:afterAutospacing="0"/>
              <w:jc w:val="center"/>
              <w:rPr>
                <w:rFonts w:asci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30F4BD1E">
            <w:pPr>
              <w:keepNext w:val="0"/>
              <w:keepLines w:val="0"/>
              <w:pageBreakBefore w:val="0"/>
              <w:kinsoku/>
              <w:overflowPunct/>
              <w:topLinePunct w:val="0"/>
              <w:bidi w:val="0"/>
              <w:spacing w:beforeAutospacing="0" w:after="0" w:afterAutospacing="0"/>
              <w:jc w:val="center"/>
              <w:rPr>
                <w:rFonts w:ascii="宋体"/>
                <w:sz w:val="24"/>
              </w:rPr>
            </w:pPr>
          </w:p>
        </w:tc>
        <w:tc>
          <w:tcPr>
            <w:tcW w:w="1275" w:type="dxa"/>
            <w:tcBorders>
              <w:top w:val="single" w:color="auto" w:sz="4" w:space="0"/>
              <w:left w:val="single" w:color="auto" w:sz="4" w:space="0"/>
              <w:bottom w:val="single" w:color="auto" w:sz="4" w:space="0"/>
              <w:right w:val="single" w:color="auto" w:sz="4" w:space="0"/>
            </w:tcBorders>
            <w:vAlign w:val="center"/>
          </w:tcPr>
          <w:p w14:paraId="218EF6E2">
            <w:pPr>
              <w:keepNext w:val="0"/>
              <w:keepLines w:val="0"/>
              <w:pageBreakBefore w:val="0"/>
              <w:kinsoku/>
              <w:overflowPunct/>
              <w:topLinePunct w:val="0"/>
              <w:bidi w:val="0"/>
              <w:spacing w:beforeAutospacing="0" w:after="0" w:afterAutospacing="0"/>
              <w:jc w:val="center"/>
              <w:rPr>
                <w:rFonts w:ascii="宋体"/>
                <w:sz w:val="24"/>
              </w:rPr>
            </w:pPr>
          </w:p>
        </w:tc>
        <w:tc>
          <w:tcPr>
            <w:tcW w:w="795" w:type="dxa"/>
            <w:tcBorders>
              <w:top w:val="single" w:color="auto" w:sz="4" w:space="0"/>
              <w:left w:val="single" w:color="auto" w:sz="4" w:space="0"/>
              <w:bottom w:val="single" w:color="auto" w:sz="4" w:space="0"/>
              <w:right w:val="single" w:color="auto" w:sz="4" w:space="0"/>
            </w:tcBorders>
            <w:vAlign w:val="center"/>
          </w:tcPr>
          <w:p w14:paraId="65670709">
            <w:pPr>
              <w:keepNext w:val="0"/>
              <w:keepLines w:val="0"/>
              <w:pageBreakBefore w:val="0"/>
              <w:kinsoku/>
              <w:overflowPunct/>
              <w:topLinePunct w:val="0"/>
              <w:bidi w:val="0"/>
              <w:spacing w:beforeAutospacing="0" w:after="0" w:afterAutospacing="0"/>
              <w:jc w:val="center"/>
              <w:rPr>
                <w:rFonts w:ascii="宋体"/>
                <w:sz w:val="24"/>
              </w:rPr>
            </w:pPr>
          </w:p>
        </w:tc>
      </w:tr>
      <w:tr w14:paraId="1581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0CF1C5A2">
            <w:pPr>
              <w:keepNext w:val="0"/>
              <w:keepLines w:val="0"/>
              <w:pageBreakBefore w:val="0"/>
              <w:kinsoku/>
              <w:overflowPunct/>
              <w:topLinePunct w:val="0"/>
              <w:bidi w:val="0"/>
              <w:spacing w:beforeAutospacing="0" w:after="0" w:afterAutospacing="0"/>
              <w:jc w:val="center"/>
              <w:rPr>
                <w:rFonts w:ascii="宋体"/>
                <w:sz w:val="24"/>
              </w:rPr>
            </w:pPr>
          </w:p>
        </w:tc>
        <w:tc>
          <w:tcPr>
            <w:tcW w:w="1322" w:type="dxa"/>
            <w:tcBorders>
              <w:top w:val="single" w:color="auto" w:sz="4" w:space="0"/>
              <w:left w:val="single" w:color="auto" w:sz="4" w:space="0"/>
              <w:bottom w:val="single" w:color="auto" w:sz="4" w:space="0"/>
              <w:right w:val="single" w:color="auto" w:sz="4" w:space="0"/>
            </w:tcBorders>
            <w:vAlign w:val="center"/>
          </w:tcPr>
          <w:p w14:paraId="41DE2FAE">
            <w:pPr>
              <w:keepNext w:val="0"/>
              <w:keepLines w:val="0"/>
              <w:pageBreakBefore w:val="0"/>
              <w:kinsoku/>
              <w:overflowPunct/>
              <w:topLinePunct w:val="0"/>
              <w:bidi w:val="0"/>
              <w:spacing w:beforeAutospacing="0" w:after="0" w:afterAutospacing="0"/>
              <w:jc w:val="center"/>
              <w:rPr>
                <w:rFonts w:ascii="宋体"/>
                <w:sz w:val="24"/>
              </w:rPr>
            </w:pPr>
          </w:p>
        </w:tc>
        <w:tc>
          <w:tcPr>
            <w:tcW w:w="1249" w:type="dxa"/>
            <w:tcBorders>
              <w:top w:val="single" w:color="auto" w:sz="4" w:space="0"/>
              <w:left w:val="single" w:color="auto" w:sz="4" w:space="0"/>
              <w:bottom w:val="single" w:color="auto" w:sz="4" w:space="0"/>
              <w:right w:val="single" w:color="auto" w:sz="4" w:space="0"/>
            </w:tcBorders>
            <w:vAlign w:val="center"/>
          </w:tcPr>
          <w:p w14:paraId="20C5B960">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2F2A09A">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008E2C58">
            <w:pPr>
              <w:keepNext w:val="0"/>
              <w:keepLines w:val="0"/>
              <w:pageBreakBefore w:val="0"/>
              <w:kinsoku/>
              <w:overflowPunct/>
              <w:topLinePunct w:val="0"/>
              <w:bidi w:val="0"/>
              <w:spacing w:beforeAutospacing="0" w:after="0" w:afterAutospacing="0"/>
              <w:jc w:val="center"/>
              <w:rPr>
                <w:rFonts w:asci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77199EE8">
            <w:pPr>
              <w:keepNext w:val="0"/>
              <w:keepLines w:val="0"/>
              <w:pageBreakBefore w:val="0"/>
              <w:kinsoku/>
              <w:overflowPunct/>
              <w:topLinePunct w:val="0"/>
              <w:bidi w:val="0"/>
              <w:spacing w:beforeAutospacing="0" w:after="0" w:afterAutospacing="0"/>
              <w:jc w:val="center"/>
              <w:rPr>
                <w:rFonts w:ascii="宋体"/>
                <w:sz w:val="24"/>
              </w:rPr>
            </w:pPr>
          </w:p>
        </w:tc>
        <w:tc>
          <w:tcPr>
            <w:tcW w:w="1275" w:type="dxa"/>
            <w:tcBorders>
              <w:top w:val="single" w:color="auto" w:sz="4" w:space="0"/>
              <w:left w:val="single" w:color="auto" w:sz="4" w:space="0"/>
              <w:bottom w:val="single" w:color="auto" w:sz="4" w:space="0"/>
              <w:right w:val="single" w:color="auto" w:sz="4" w:space="0"/>
            </w:tcBorders>
            <w:vAlign w:val="center"/>
          </w:tcPr>
          <w:p w14:paraId="03ECF61C">
            <w:pPr>
              <w:keepNext w:val="0"/>
              <w:keepLines w:val="0"/>
              <w:pageBreakBefore w:val="0"/>
              <w:kinsoku/>
              <w:overflowPunct/>
              <w:topLinePunct w:val="0"/>
              <w:bidi w:val="0"/>
              <w:spacing w:beforeAutospacing="0" w:after="0" w:afterAutospacing="0"/>
              <w:jc w:val="center"/>
              <w:rPr>
                <w:rFonts w:ascii="宋体"/>
                <w:sz w:val="24"/>
              </w:rPr>
            </w:pPr>
          </w:p>
        </w:tc>
        <w:tc>
          <w:tcPr>
            <w:tcW w:w="795" w:type="dxa"/>
            <w:tcBorders>
              <w:top w:val="single" w:color="auto" w:sz="4" w:space="0"/>
              <w:left w:val="single" w:color="auto" w:sz="4" w:space="0"/>
              <w:bottom w:val="single" w:color="auto" w:sz="4" w:space="0"/>
              <w:right w:val="single" w:color="auto" w:sz="4" w:space="0"/>
            </w:tcBorders>
            <w:vAlign w:val="center"/>
          </w:tcPr>
          <w:p w14:paraId="7A7D046E">
            <w:pPr>
              <w:keepNext w:val="0"/>
              <w:keepLines w:val="0"/>
              <w:pageBreakBefore w:val="0"/>
              <w:kinsoku/>
              <w:overflowPunct/>
              <w:topLinePunct w:val="0"/>
              <w:bidi w:val="0"/>
              <w:spacing w:beforeAutospacing="0" w:after="0" w:afterAutospacing="0"/>
              <w:jc w:val="center"/>
              <w:rPr>
                <w:rFonts w:ascii="宋体"/>
                <w:sz w:val="24"/>
              </w:rPr>
            </w:pPr>
          </w:p>
        </w:tc>
      </w:tr>
      <w:tr w14:paraId="4496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vAlign w:val="center"/>
          </w:tcPr>
          <w:p w14:paraId="103F523B">
            <w:pPr>
              <w:keepNext w:val="0"/>
              <w:keepLines w:val="0"/>
              <w:pageBreakBefore w:val="0"/>
              <w:kinsoku/>
              <w:overflowPunct/>
              <w:topLinePunct w:val="0"/>
              <w:bidi w:val="0"/>
              <w:spacing w:beforeAutospacing="0" w:after="0" w:afterAutospacing="0"/>
              <w:jc w:val="center"/>
              <w:rPr>
                <w:rFonts w:ascii="宋体"/>
                <w:sz w:val="24"/>
              </w:rPr>
            </w:pPr>
          </w:p>
        </w:tc>
        <w:tc>
          <w:tcPr>
            <w:tcW w:w="1322" w:type="dxa"/>
            <w:tcBorders>
              <w:top w:val="single" w:color="auto" w:sz="4" w:space="0"/>
              <w:left w:val="single" w:color="auto" w:sz="4" w:space="0"/>
              <w:bottom w:val="single" w:color="auto" w:sz="4" w:space="0"/>
              <w:right w:val="single" w:color="auto" w:sz="4" w:space="0"/>
            </w:tcBorders>
            <w:vAlign w:val="center"/>
          </w:tcPr>
          <w:p w14:paraId="5EE0A280">
            <w:pPr>
              <w:keepNext w:val="0"/>
              <w:keepLines w:val="0"/>
              <w:pageBreakBefore w:val="0"/>
              <w:kinsoku/>
              <w:overflowPunct/>
              <w:topLinePunct w:val="0"/>
              <w:bidi w:val="0"/>
              <w:spacing w:beforeAutospacing="0" w:after="0" w:afterAutospacing="0"/>
              <w:jc w:val="center"/>
              <w:rPr>
                <w:rFonts w:ascii="宋体"/>
                <w:sz w:val="24"/>
              </w:rPr>
            </w:pPr>
          </w:p>
        </w:tc>
        <w:tc>
          <w:tcPr>
            <w:tcW w:w="1249" w:type="dxa"/>
            <w:tcBorders>
              <w:top w:val="single" w:color="auto" w:sz="4" w:space="0"/>
              <w:left w:val="single" w:color="auto" w:sz="4" w:space="0"/>
              <w:bottom w:val="single" w:color="auto" w:sz="4" w:space="0"/>
              <w:right w:val="single" w:color="auto" w:sz="4" w:space="0"/>
            </w:tcBorders>
            <w:vAlign w:val="center"/>
          </w:tcPr>
          <w:p w14:paraId="29485098">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35A8F28">
            <w:pPr>
              <w:keepNext w:val="0"/>
              <w:keepLines w:val="0"/>
              <w:pageBreakBefore w:val="0"/>
              <w:kinsoku/>
              <w:overflowPunct/>
              <w:topLinePunct w:val="0"/>
              <w:bidi w:val="0"/>
              <w:spacing w:beforeAutospacing="0" w:after="0" w:afterAutospacing="0"/>
              <w:jc w:val="center"/>
              <w:rPr>
                <w:rFonts w:asci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5D4D2D5D">
            <w:pPr>
              <w:keepNext w:val="0"/>
              <w:keepLines w:val="0"/>
              <w:pageBreakBefore w:val="0"/>
              <w:kinsoku/>
              <w:overflowPunct/>
              <w:topLinePunct w:val="0"/>
              <w:bidi w:val="0"/>
              <w:spacing w:beforeAutospacing="0" w:after="0" w:afterAutospacing="0"/>
              <w:jc w:val="center"/>
              <w:rPr>
                <w:rFonts w:ascii="宋体"/>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431A363F">
            <w:pPr>
              <w:keepNext w:val="0"/>
              <w:keepLines w:val="0"/>
              <w:pageBreakBefore w:val="0"/>
              <w:kinsoku/>
              <w:overflowPunct/>
              <w:topLinePunct w:val="0"/>
              <w:bidi w:val="0"/>
              <w:spacing w:beforeAutospacing="0" w:after="0" w:afterAutospacing="0"/>
              <w:jc w:val="center"/>
              <w:rPr>
                <w:rFonts w:ascii="宋体"/>
                <w:sz w:val="24"/>
              </w:rPr>
            </w:pPr>
          </w:p>
        </w:tc>
        <w:tc>
          <w:tcPr>
            <w:tcW w:w="1275" w:type="dxa"/>
            <w:tcBorders>
              <w:top w:val="single" w:color="auto" w:sz="4" w:space="0"/>
              <w:left w:val="single" w:color="auto" w:sz="4" w:space="0"/>
              <w:bottom w:val="single" w:color="auto" w:sz="4" w:space="0"/>
              <w:right w:val="single" w:color="auto" w:sz="4" w:space="0"/>
            </w:tcBorders>
            <w:vAlign w:val="center"/>
          </w:tcPr>
          <w:p w14:paraId="0B42CFDF">
            <w:pPr>
              <w:keepNext w:val="0"/>
              <w:keepLines w:val="0"/>
              <w:pageBreakBefore w:val="0"/>
              <w:kinsoku/>
              <w:overflowPunct/>
              <w:topLinePunct w:val="0"/>
              <w:bidi w:val="0"/>
              <w:spacing w:beforeAutospacing="0" w:after="0" w:afterAutospacing="0"/>
              <w:jc w:val="center"/>
              <w:rPr>
                <w:rFonts w:ascii="宋体"/>
                <w:sz w:val="24"/>
              </w:rPr>
            </w:pPr>
          </w:p>
        </w:tc>
        <w:tc>
          <w:tcPr>
            <w:tcW w:w="795" w:type="dxa"/>
            <w:tcBorders>
              <w:top w:val="single" w:color="auto" w:sz="4" w:space="0"/>
              <w:left w:val="single" w:color="auto" w:sz="4" w:space="0"/>
              <w:bottom w:val="single" w:color="auto" w:sz="4" w:space="0"/>
              <w:right w:val="single" w:color="auto" w:sz="4" w:space="0"/>
            </w:tcBorders>
            <w:vAlign w:val="center"/>
          </w:tcPr>
          <w:p w14:paraId="14E07339">
            <w:pPr>
              <w:keepNext w:val="0"/>
              <w:keepLines w:val="0"/>
              <w:pageBreakBefore w:val="0"/>
              <w:kinsoku/>
              <w:overflowPunct/>
              <w:topLinePunct w:val="0"/>
              <w:bidi w:val="0"/>
              <w:spacing w:beforeAutospacing="0" w:after="0" w:afterAutospacing="0"/>
              <w:jc w:val="center"/>
              <w:rPr>
                <w:rFonts w:ascii="宋体"/>
                <w:sz w:val="24"/>
              </w:rPr>
            </w:pPr>
          </w:p>
        </w:tc>
      </w:tr>
    </w:tbl>
    <w:p w14:paraId="33294E6C">
      <w:pPr>
        <w:keepNext w:val="0"/>
        <w:keepLines w:val="0"/>
        <w:pageBreakBefore w:val="0"/>
        <w:kinsoku/>
        <w:overflowPunct/>
        <w:topLinePunct w:val="0"/>
        <w:bidi w:val="0"/>
        <w:spacing w:beforeAutospacing="0" w:after="0" w:afterAutospacing="0"/>
        <w:rPr>
          <w:rFonts w:ascii="宋体"/>
          <w:b/>
          <w:sz w:val="24"/>
        </w:rPr>
      </w:pPr>
    </w:p>
    <w:p w14:paraId="663259AA">
      <w:pPr>
        <w:keepNext w:val="0"/>
        <w:keepLines w:val="0"/>
        <w:pageBreakBefore w:val="0"/>
        <w:kinsoku/>
        <w:overflowPunct/>
        <w:topLinePunct w:val="0"/>
        <w:bidi w:val="0"/>
        <w:spacing w:beforeAutospacing="0" w:after="0" w:afterAutospacing="0"/>
        <w:rPr>
          <w:sz w:val="24"/>
        </w:rPr>
      </w:pPr>
      <w:r>
        <w:rPr>
          <w:rFonts w:hint="eastAsia" w:ascii="宋体"/>
          <w:sz w:val="24"/>
        </w:rPr>
        <w:t>法定代表人或委托代理人签字</w:t>
      </w:r>
      <w:r>
        <w:rPr>
          <w:rFonts w:hint="eastAsia"/>
          <w:sz w:val="24"/>
        </w:rPr>
        <w:t>：</w:t>
      </w:r>
    </w:p>
    <w:p w14:paraId="1C38C5A7">
      <w:pPr>
        <w:keepNext w:val="0"/>
        <w:keepLines w:val="0"/>
        <w:pageBreakBefore w:val="0"/>
        <w:kinsoku/>
        <w:overflowPunct/>
        <w:topLinePunct w:val="0"/>
        <w:bidi w:val="0"/>
        <w:spacing w:beforeAutospacing="0" w:after="0" w:afterAutospacing="0"/>
        <w:rPr>
          <w:sz w:val="24"/>
        </w:rPr>
      </w:pPr>
      <w:r>
        <w:rPr>
          <w:rFonts w:hint="eastAsia"/>
          <w:sz w:val="24"/>
        </w:rPr>
        <w:t>职务：日期：</w:t>
      </w:r>
    </w:p>
    <w:p w14:paraId="4F29A2D5">
      <w:pPr>
        <w:keepNext w:val="0"/>
        <w:keepLines w:val="0"/>
        <w:pageBreakBefore w:val="0"/>
        <w:kinsoku/>
        <w:overflowPunct/>
        <w:topLinePunct w:val="0"/>
        <w:bidi w:val="0"/>
        <w:snapToGrid w:val="0"/>
        <w:spacing w:beforeAutospacing="0" w:after="0" w:afterAutospacing="0"/>
        <w:jc w:val="left"/>
        <w:rPr>
          <w:rFonts w:ascii="宋体"/>
          <w:b/>
          <w:sz w:val="24"/>
        </w:rPr>
      </w:pPr>
    </w:p>
    <w:p w14:paraId="2E40EA06">
      <w:pPr>
        <w:keepNext w:val="0"/>
        <w:keepLines w:val="0"/>
        <w:pageBreakBefore w:val="0"/>
        <w:kinsoku/>
        <w:overflowPunct/>
        <w:topLinePunct w:val="0"/>
        <w:bidi w:val="0"/>
        <w:spacing w:beforeAutospacing="0" w:after="0" w:afterAutospacing="0"/>
        <w:rPr>
          <w:rFonts w:ascii="宋体" w:hAnsi="宋体" w:cs="宋体"/>
          <w:b/>
          <w:bCs/>
          <w:sz w:val="24"/>
          <w:szCs w:val="24"/>
        </w:rPr>
      </w:pPr>
      <w:r>
        <w:rPr>
          <w:rFonts w:ascii="宋体" w:hAnsi="宋体" w:cs="宋体"/>
          <w:b/>
          <w:bCs/>
          <w:sz w:val="24"/>
          <w:szCs w:val="24"/>
        </w:rPr>
        <w:br w:type="page"/>
      </w:r>
    </w:p>
    <w:p w14:paraId="75BBA909">
      <w:pPr>
        <w:keepNext w:val="0"/>
        <w:keepLines w:val="0"/>
        <w:pageBreakBefore w:val="0"/>
        <w:kinsoku/>
        <w:overflowPunct/>
        <w:topLinePunct w:val="0"/>
        <w:bidi w:val="0"/>
        <w:snapToGrid w:val="0"/>
        <w:spacing w:beforeAutospacing="0" w:after="0" w:afterAutospacing="0" w:line="360" w:lineRule="auto"/>
        <w:jc w:val="left"/>
        <w:outlineLvl w:val="2"/>
        <w:rPr>
          <w:rFonts w:ascii="宋体" w:hAnsi="宋体"/>
          <w:b/>
          <w:sz w:val="24"/>
        </w:rPr>
      </w:pPr>
      <w:r>
        <w:rPr>
          <w:rFonts w:hint="eastAsia" w:ascii="宋体" w:hAnsi="宋体"/>
          <w:b/>
          <w:sz w:val="24"/>
        </w:rPr>
        <w:t>附件2.8</w:t>
      </w:r>
    </w:p>
    <w:p w14:paraId="6256DC8A">
      <w:pPr>
        <w:keepNext w:val="0"/>
        <w:keepLines w:val="0"/>
        <w:pageBreakBefore w:val="0"/>
        <w:kinsoku/>
        <w:overflowPunct/>
        <w:topLinePunct w:val="0"/>
        <w:bidi w:val="0"/>
        <w:snapToGrid w:val="0"/>
        <w:spacing w:beforeAutospacing="0" w:after="0" w:afterAutospacing="0"/>
        <w:jc w:val="center"/>
        <w:rPr>
          <w:rFonts w:ascii="宋体"/>
          <w:b/>
          <w:sz w:val="24"/>
        </w:rPr>
      </w:pPr>
      <w:r>
        <w:rPr>
          <w:rFonts w:hint="eastAsia" w:ascii="宋体"/>
          <w:b/>
          <w:sz w:val="24"/>
        </w:rPr>
        <w:t>商务响应表</w:t>
      </w:r>
    </w:p>
    <w:tbl>
      <w:tblPr>
        <w:tblStyle w:val="49"/>
        <w:tblW w:w="894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8"/>
        <w:gridCol w:w="1977"/>
        <w:gridCol w:w="2058"/>
        <w:gridCol w:w="2640"/>
      </w:tblGrid>
      <w:tr w14:paraId="6091C4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268" w:type="dxa"/>
            <w:tcBorders>
              <w:top w:val="single" w:color="auto" w:sz="4" w:space="0"/>
              <w:left w:val="single" w:color="auto" w:sz="4" w:space="0"/>
              <w:bottom w:val="single" w:color="auto" w:sz="4" w:space="0"/>
              <w:right w:val="single" w:color="auto" w:sz="4" w:space="0"/>
            </w:tcBorders>
          </w:tcPr>
          <w:p w14:paraId="12E3504F">
            <w:pPr>
              <w:keepNext w:val="0"/>
              <w:keepLines w:val="0"/>
              <w:pageBreakBefore w:val="0"/>
              <w:kinsoku/>
              <w:overflowPunct/>
              <w:topLinePunct w:val="0"/>
              <w:bidi w:val="0"/>
              <w:snapToGrid w:val="0"/>
              <w:spacing w:beforeAutospacing="0" w:after="0" w:afterAutospacing="0"/>
              <w:rPr>
                <w:rFonts w:ascii="宋体"/>
                <w:sz w:val="24"/>
                <w:szCs w:val="20"/>
              </w:rPr>
            </w:pPr>
            <w:r>
              <w:rPr>
                <w:rFonts w:hint="eastAsia" w:ascii="宋体"/>
                <w:sz w:val="24"/>
              </w:rPr>
              <w:t>项目</w:t>
            </w:r>
          </w:p>
        </w:tc>
        <w:tc>
          <w:tcPr>
            <w:tcW w:w="1977" w:type="dxa"/>
            <w:tcBorders>
              <w:top w:val="single" w:color="auto" w:sz="4" w:space="0"/>
              <w:left w:val="single" w:color="auto" w:sz="4" w:space="0"/>
              <w:bottom w:val="single" w:color="auto" w:sz="4" w:space="0"/>
              <w:right w:val="single" w:color="auto" w:sz="4" w:space="0"/>
            </w:tcBorders>
          </w:tcPr>
          <w:p w14:paraId="09781743">
            <w:pPr>
              <w:keepNext w:val="0"/>
              <w:keepLines w:val="0"/>
              <w:pageBreakBefore w:val="0"/>
              <w:kinsoku/>
              <w:overflowPunct/>
              <w:topLinePunct w:val="0"/>
              <w:bidi w:val="0"/>
              <w:snapToGrid w:val="0"/>
              <w:spacing w:beforeAutospacing="0" w:after="0" w:afterAutospacing="0"/>
              <w:rPr>
                <w:rFonts w:ascii="宋体"/>
                <w:sz w:val="24"/>
                <w:szCs w:val="20"/>
              </w:rPr>
            </w:pPr>
            <w:r>
              <w:rPr>
                <w:rFonts w:hint="eastAsia" w:ascii="宋体"/>
                <w:sz w:val="24"/>
              </w:rPr>
              <w:t>招标文件要求</w:t>
            </w:r>
          </w:p>
        </w:tc>
        <w:tc>
          <w:tcPr>
            <w:tcW w:w="2058" w:type="dxa"/>
            <w:tcBorders>
              <w:top w:val="single" w:color="auto" w:sz="4" w:space="0"/>
              <w:left w:val="single" w:color="auto" w:sz="4" w:space="0"/>
              <w:bottom w:val="single" w:color="auto" w:sz="4" w:space="0"/>
              <w:right w:val="single" w:color="auto" w:sz="4" w:space="0"/>
            </w:tcBorders>
          </w:tcPr>
          <w:p w14:paraId="78809FB9">
            <w:pPr>
              <w:keepNext w:val="0"/>
              <w:keepLines w:val="0"/>
              <w:pageBreakBefore w:val="0"/>
              <w:kinsoku/>
              <w:overflowPunct/>
              <w:topLinePunct w:val="0"/>
              <w:bidi w:val="0"/>
              <w:snapToGrid w:val="0"/>
              <w:spacing w:beforeAutospacing="0" w:after="0" w:afterAutospacing="0"/>
              <w:rPr>
                <w:rFonts w:ascii="宋体"/>
                <w:sz w:val="24"/>
                <w:szCs w:val="20"/>
              </w:rPr>
            </w:pPr>
            <w:r>
              <w:rPr>
                <w:rFonts w:hint="eastAsia" w:ascii="宋体"/>
                <w:sz w:val="24"/>
              </w:rPr>
              <w:t>响应及偏离情况</w:t>
            </w:r>
          </w:p>
        </w:tc>
        <w:tc>
          <w:tcPr>
            <w:tcW w:w="2640" w:type="dxa"/>
            <w:tcBorders>
              <w:top w:val="single" w:color="auto" w:sz="4" w:space="0"/>
              <w:left w:val="single" w:color="auto" w:sz="4" w:space="0"/>
              <w:bottom w:val="single" w:color="auto" w:sz="4" w:space="0"/>
              <w:right w:val="single" w:color="auto" w:sz="4" w:space="0"/>
            </w:tcBorders>
          </w:tcPr>
          <w:p w14:paraId="037C5895">
            <w:pPr>
              <w:keepNext w:val="0"/>
              <w:keepLines w:val="0"/>
              <w:pageBreakBefore w:val="0"/>
              <w:kinsoku/>
              <w:overflowPunct/>
              <w:topLinePunct w:val="0"/>
              <w:bidi w:val="0"/>
              <w:snapToGrid w:val="0"/>
              <w:spacing w:beforeAutospacing="0" w:after="0" w:afterAutospacing="0"/>
              <w:rPr>
                <w:rFonts w:ascii="宋体"/>
                <w:sz w:val="24"/>
                <w:szCs w:val="20"/>
              </w:rPr>
            </w:pPr>
            <w:r>
              <w:rPr>
                <w:rFonts w:hint="eastAsia" w:ascii="宋体"/>
                <w:sz w:val="24"/>
              </w:rPr>
              <w:t>投标人的承诺或说明</w:t>
            </w:r>
          </w:p>
        </w:tc>
      </w:tr>
      <w:tr w14:paraId="427683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268" w:type="dxa"/>
            <w:tcBorders>
              <w:top w:val="single" w:color="auto" w:sz="4" w:space="0"/>
              <w:left w:val="single" w:color="auto" w:sz="4" w:space="0"/>
              <w:bottom w:val="single" w:color="auto" w:sz="4" w:space="0"/>
              <w:right w:val="single" w:color="auto" w:sz="4" w:space="0"/>
            </w:tcBorders>
            <w:vAlign w:val="center"/>
          </w:tcPr>
          <w:p w14:paraId="454D5CEE">
            <w:pPr>
              <w:pStyle w:val="28"/>
              <w:keepNext w:val="0"/>
              <w:keepLines w:val="0"/>
              <w:pageBreakBefore w:val="0"/>
              <w:kinsoku/>
              <w:overflowPunct/>
              <w:topLinePunct w:val="0"/>
              <w:bidi w:val="0"/>
              <w:snapToGrid w:val="0"/>
              <w:spacing w:beforeLines="0" w:beforeAutospacing="0" w:after="0" w:afterLines="0" w:afterAutospacing="0" w:line="240" w:lineRule="auto"/>
              <w:outlineLvl w:val="0"/>
            </w:pPr>
            <w:bookmarkStart w:id="2" w:name="_Toc414870809"/>
            <w:bookmarkStart w:id="3" w:name="_Toc408477084"/>
            <w:r>
              <w:rPr>
                <w:rFonts w:hint="eastAsia"/>
              </w:rPr>
              <w:t>一、免费质保期</w:t>
            </w:r>
            <w:bookmarkEnd w:id="2"/>
            <w:bookmarkEnd w:id="3"/>
          </w:p>
        </w:tc>
        <w:tc>
          <w:tcPr>
            <w:tcW w:w="1977" w:type="dxa"/>
            <w:tcBorders>
              <w:top w:val="single" w:color="auto" w:sz="4" w:space="0"/>
              <w:left w:val="single" w:color="auto" w:sz="4" w:space="0"/>
              <w:bottom w:val="single" w:color="auto" w:sz="4" w:space="0"/>
              <w:right w:val="single" w:color="auto" w:sz="4" w:space="0"/>
            </w:tcBorders>
          </w:tcPr>
          <w:p w14:paraId="5BC6DD72">
            <w:pPr>
              <w:keepNext w:val="0"/>
              <w:keepLines w:val="0"/>
              <w:pageBreakBefore w:val="0"/>
              <w:kinsoku/>
              <w:overflowPunct/>
              <w:topLinePunct w:val="0"/>
              <w:bidi w:val="0"/>
              <w:snapToGrid w:val="0"/>
              <w:spacing w:beforeAutospacing="0" w:after="0" w:afterAutospacing="0"/>
              <w:rPr>
                <w:rFonts w:ascii="宋体"/>
                <w:sz w:val="24"/>
              </w:rPr>
            </w:pPr>
          </w:p>
        </w:tc>
        <w:tc>
          <w:tcPr>
            <w:tcW w:w="2058" w:type="dxa"/>
            <w:tcBorders>
              <w:top w:val="single" w:color="auto" w:sz="4" w:space="0"/>
              <w:left w:val="single" w:color="auto" w:sz="4" w:space="0"/>
              <w:bottom w:val="single" w:color="auto" w:sz="4" w:space="0"/>
              <w:right w:val="single" w:color="auto" w:sz="4" w:space="0"/>
            </w:tcBorders>
          </w:tcPr>
          <w:p w14:paraId="150F01CC">
            <w:pPr>
              <w:keepNext w:val="0"/>
              <w:keepLines w:val="0"/>
              <w:pageBreakBefore w:val="0"/>
              <w:kinsoku/>
              <w:overflowPunct/>
              <w:topLinePunct w:val="0"/>
              <w:bidi w:val="0"/>
              <w:snapToGrid w:val="0"/>
              <w:spacing w:beforeAutospacing="0" w:after="0" w:afterAutospacing="0"/>
              <w:rPr>
                <w:rFonts w:ascii="宋体"/>
                <w:sz w:val="24"/>
              </w:rPr>
            </w:pPr>
          </w:p>
        </w:tc>
        <w:tc>
          <w:tcPr>
            <w:tcW w:w="2640" w:type="dxa"/>
            <w:tcBorders>
              <w:top w:val="single" w:color="auto" w:sz="4" w:space="0"/>
              <w:left w:val="single" w:color="auto" w:sz="4" w:space="0"/>
              <w:bottom w:val="single" w:color="auto" w:sz="4" w:space="0"/>
              <w:right w:val="single" w:color="auto" w:sz="4" w:space="0"/>
            </w:tcBorders>
          </w:tcPr>
          <w:p w14:paraId="5FE0929D">
            <w:pPr>
              <w:keepNext w:val="0"/>
              <w:keepLines w:val="0"/>
              <w:pageBreakBefore w:val="0"/>
              <w:kinsoku/>
              <w:overflowPunct/>
              <w:topLinePunct w:val="0"/>
              <w:bidi w:val="0"/>
              <w:snapToGrid w:val="0"/>
              <w:spacing w:beforeAutospacing="0" w:after="0" w:afterAutospacing="0"/>
              <w:rPr>
                <w:rFonts w:ascii="宋体"/>
                <w:sz w:val="24"/>
              </w:rPr>
            </w:pPr>
          </w:p>
        </w:tc>
      </w:tr>
      <w:tr w14:paraId="00730C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268" w:type="dxa"/>
            <w:tcBorders>
              <w:top w:val="single" w:color="auto" w:sz="4" w:space="0"/>
              <w:left w:val="single" w:color="auto" w:sz="4" w:space="0"/>
              <w:bottom w:val="single" w:color="auto" w:sz="4" w:space="0"/>
              <w:right w:val="single" w:color="auto" w:sz="4" w:space="0"/>
            </w:tcBorders>
            <w:vAlign w:val="center"/>
          </w:tcPr>
          <w:p w14:paraId="36DEB7F9">
            <w:pPr>
              <w:pStyle w:val="28"/>
              <w:keepNext w:val="0"/>
              <w:keepLines w:val="0"/>
              <w:pageBreakBefore w:val="0"/>
              <w:kinsoku/>
              <w:overflowPunct/>
              <w:topLinePunct w:val="0"/>
              <w:bidi w:val="0"/>
              <w:snapToGrid w:val="0"/>
              <w:spacing w:beforeLines="0" w:beforeAutospacing="0" w:after="0" w:afterLines="0" w:afterAutospacing="0" w:line="240" w:lineRule="auto"/>
              <w:outlineLvl w:val="0"/>
            </w:pPr>
            <w:bookmarkStart w:id="4" w:name="_Toc414870810"/>
            <w:bookmarkStart w:id="5" w:name="_Toc408477085"/>
            <w:r>
              <w:rPr>
                <w:rFonts w:hint="eastAsia"/>
              </w:rPr>
              <w:t>二、售后服务要求</w:t>
            </w:r>
            <w:bookmarkEnd w:id="4"/>
            <w:bookmarkEnd w:id="5"/>
          </w:p>
        </w:tc>
        <w:tc>
          <w:tcPr>
            <w:tcW w:w="1977" w:type="dxa"/>
            <w:tcBorders>
              <w:top w:val="single" w:color="auto" w:sz="4" w:space="0"/>
              <w:left w:val="single" w:color="auto" w:sz="4" w:space="0"/>
              <w:bottom w:val="single" w:color="auto" w:sz="4" w:space="0"/>
              <w:right w:val="single" w:color="auto" w:sz="4" w:space="0"/>
            </w:tcBorders>
          </w:tcPr>
          <w:p w14:paraId="3955A3BB">
            <w:pPr>
              <w:keepNext w:val="0"/>
              <w:keepLines w:val="0"/>
              <w:pageBreakBefore w:val="0"/>
              <w:kinsoku/>
              <w:overflowPunct/>
              <w:topLinePunct w:val="0"/>
              <w:bidi w:val="0"/>
              <w:snapToGrid w:val="0"/>
              <w:spacing w:beforeAutospacing="0" w:after="0" w:afterAutospacing="0"/>
              <w:rPr>
                <w:rFonts w:ascii="宋体"/>
                <w:sz w:val="24"/>
              </w:rPr>
            </w:pPr>
          </w:p>
        </w:tc>
        <w:tc>
          <w:tcPr>
            <w:tcW w:w="2058" w:type="dxa"/>
            <w:tcBorders>
              <w:top w:val="single" w:color="auto" w:sz="4" w:space="0"/>
              <w:left w:val="single" w:color="auto" w:sz="4" w:space="0"/>
              <w:bottom w:val="single" w:color="auto" w:sz="4" w:space="0"/>
              <w:right w:val="single" w:color="auto" w:sz="4" w:space="0"/>
            </w:tcBorders>
          </w:tcPr>
          <w:p w14:paraId="5DF206FB">
            <w:pPr>
              <w:keepNext w:val="0"/>
              <w:keepLines w:val="0"/>
              <w:pageBreakBefore w:val="0"/>
              <w:kinsoku/>
              <w:overflowPunct/>
              <w:topLinePunct w:val="0"/>
              <w:bidi w:val="0"/>
              <w:snapToGrid w:val="0"/>
              <w:spacing w:beforeAutospacing="0" w:after="0" w:afterAutospacing="0"/>
              <w:rPr>
                <w:rFonts w:ascii="宋体"/>
                <w:sz w:val="24"/>
              </w:rPr>
            </w:pPr>
          </w:p>
        </w:tc>
        <w:tc>
          <w:tcPr>
            <w:tcW w:w="2640" w:type="dxa"/>
            <w:tcBorders>
              <w:top w:val="single" w:color="auto" w:sz="4" w:space="0"/>
              <w:left w:val="single" w:color="auto" w:sz="4" w:space="0"/>
              <w:bottom w:val="single" w:color="auto" w:sz="4" w:space="0"/>
              <w:right w:val="single" w:color="auto" w:sz="4" w:space="0"/>
            </w:tcBorders>
          </w:tcPr>
          <w:p w14:paraId="2039214D">
            <w:pPr>
              <w:keepNext w:val="0"/>
              <w:keepLines w:val="0"/>
              <w:pageBreakBefore w:val="0"/>
              <w:kinsoku/>
              <w:overflowPunct/>
              <w:topLinePunct w:val="0"/>
              <w:bidi w:val="0"/>
              <w:snapToGrid w:val="0"/>
              <w:spacing w:beforeAutospacing="0" w:after="0" w:afterAutospacing="0"/>
              <w:rPr>
                <w:rFonts w:ascii="宋体"/>
                <w:sz w:val="24"/>
              </w:rPr>
            </w:pPr>
          </w:p>
        </w:tc>
      </w:tr>
      <w:tr w14:paraId="4FB783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268" w:type="dxa"/>
            <w:tcBorders>
              <w:top w:val="single" w:color="auto" w:sz="4" w:space="0"/>
              <w:left w:val="single" w:color="auto" w:sz="4" w:space="0"/>
              <w:bottom w:val="single" w:color="auto" w:sz="4" w:space="0"/>
              <w:right w:val="single" w:color="auto" w:sz="4" w:space="0"/>
            </w:tcBorders>
            <w:vAlign w:val="center"/>
          </w:tcPr>
          <w:p w14:paraId="6F882EAE">
            <w:pPr>
              <w:pStyle w:val="28"/>
              <w:keepNext w:val="0"/>
              <w:keepLines w:val="0"/>
              <w:pageBreakBefore w:val="0"/>
              <w:kinsoku/>
              <w:overflowPunct/>
              <w:topLinePunct w:val="0"/>
              <w:bidi w:val="0"/>
              <w:snapToGrid w:val="0"/>
              <w:spacing w:beforeLines="0" w:beforeAutospacing="0" w:after="0" w:afterLines="0" w:afterAutospacing="0" w:line="240" w:lineRule="auto"/>
              <w:outlineLvl w:val="0"/>
            </w:pPr>
            <w:bookmarkStart w:id="6" w:name="_Toc414870811"/>
            <w:bookmarkStart w:id="7" w:name="_Toc408477086"/>
            <w:r>
              <w:rPr>
                <w:rFonts w:hint="eastAsia"/>
              </w:rPr>
              <w:t>三、售后服务保障或维修响应时间要求</w:t>
            </w:r>
            <w:bookmarkEnd w:id="6"/>
            <w:bookmarkEnd w:id="7"/>
          </w:p>
        </w:tc>
        <w:tc>
          <w:tcPr>
            <w:tcW w:w="1977" w:type="dxa"/>
            <w:tcBorders>
              <w:top w:val="single" w:color="auto" w:sz="4" w:space="0"/>
              <w:left w:val="single" w:color="auto" w:sz="4" w:space="0"/>
              <w:bottom w:val="single" w:color="auto" w:sz="4" w:space="0"/>
              <w:right w:val="single" w:color="auto" w:sz="4" w:space="0"/>
            </w:tcBorders>
          </w:tcPr>
          <w:p w14:paraId="72D46462">
            <w:pPr>
              <w:keepNext w:val="0"/>
              <w:keepLines w:val="0"/>
              <w:pageBreakBefore w:val="0"/>
              <w:kinsoku/>
              <w:overflowPunct/>
              <w:topLinePunct w:val="0"/>
              <w:bidi w:val="0"/>
              <w:snapToGrid w:val="0"/>
              <w:spacing w:beforeAutospacing="0" w:after="0" w:afterAutospacing="0"/>
              <w:rPr>
                <w:rFonts w:ascii="宋体"/>
                <w:sz w:val="24"/>
              </w:rPr>
            </w:pPr>
          </w:p>
        </w:tc>
        <w:tc>
          <w:tcPr>
            <w:tcW w:w="2058" w:type="dxa"/>
            <w:tcBorders>
              <w:top w:val="single" w:color="auto" w:sz="4" w:space="0"/>
              <w:left w:val="single" w:color="auto" w:sz="4" w:space="0"/>
              <w:bottom w:val="single" w:color="auto" w:sz="4" w:space="0"/>
              <w:right w:val="single" w:color="auto" w:sz="4" w:space="0"/>
            </w:tcBorders>
          </w:tcPr>
          <w:p w14:paraId="63E40840">
            <w:pPr>
              <w:keepNext w:val="0"/>
              <w:keepLines w:val="0"/>
              <w:pageBreakBefore w:val="0"/>
              <w:kinsoku/>
              <w:overflowPunct/>
              <w:topLinePunct w:val="0"/>
              <w:bidi w:val="0"/>
              <w:snapToGrid w:val="0"/>
              <w:spacing w:beforeAutospacing="0" w:after="0" w:afterAutospacing="0"/>
              <w:rPr>
                <w:rFonts w:ascii="宋体"/>
                <w:sz w:val="24"/>
              </w:rPr>
            </w:pPr>
          </w:p>
        </w:tc>
        <w:tc>
          <w:tcPr>
            <w:tcW w:w="2640" w:type="dxa"/>
            <w:tcBorders>
              <w:top w:val="single" w:color="auto" w:sz="4" w:space="0"/>
              <w:left w:val="single" w:color="auto" w:sz="4" w:space="0"/>
              <w:bottom w:val="single" w:color="auto" w:sz="4" w:space="0"/>
              <w:right w:val="single" w:color="auto" w:sz="4" w:space="0"/>
            </w:tcBorders>
          </w:tcPr>
          <w:p w14:paraId="548BC836">
            <w:pPr>
              <w:keepNext w:val="0"/>
              <w:keepLines w:val="0"/>
              <w:pageBreakBefore w:val="0"/>
              <w:kinsoku/>
              <w:overflowPunct/>
              <w:topLinePunct w:val="0"/>
              <w:bidi w:val="0"/>
              <w:snapToGrid w:val="0"/>
              <w:spacing w:beforeAutospacing="0" w:after="0" w:afterAutospacing="0"/>
              <w:rPr>
                <w:rFonts w:ascii="宋体"/>
                <w:sz w:val="24"/>
              </w:rPr>
            </w:pPr>
          </w:p>
        </w:tc>
      </w:tr>
      <w:tr w14:paraId="52165A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268" w:type="dxa"/>
            <w:tcBorders>
              <w:top w:val="single" w:color="auto" w:sz="4" w:space="0"/>
              <w:left w:val="single" w:color="auto" w:sz="4" w:space="0"/>
              <w:bottom w:val="single" w:color="auto" w:sz="4" w:space="0"/>
              <w:right w:val="single" w:color="auto" w:sz="4" w:space="0"/>
            </w:tcBorders>
            <w:vAlign w:val="center"/>
          </w:tcPr>
          <w:p w14:paraId="66F8B420">
            <w:pPr>
              <w:pStyle w:val="28"/>
              <w:keepNext w:val="0"/>
              <w:keepLines w:val="0"/>
              <w:pageBreakBefore w:val="0"/>
              <w:kinsoku/>
              <w:overflowPunct/>
              <w:topLinePunct w:val="0"/>
              <w:bidi w:val="0"/>
              <w:snapToGrid w:val="0"/>
              <w:spacing w:beforeLines="0" w:beforeAutospacing="0" w:after="0" w:afterLines="0" w:afterAutospacing="0" w:line="240" w:lineRule="auto"/>
              <w:outlineLvl w:val="0"/>
            </w:pPr>
            <w:bookmarkStart w:id="8" w:name="_Toc414870812"/>
            <w:bookmarkStart w:id="9" w:name="_Toc408477087"/>
            <w:r>
              <w:rPr>
                <w:rFonts w:hint="eastAsia"/>
              </w:rPr>
              <w:t>四、交货时间及地点</w:t>
            </w:r>
            <w:bookmarkEnd w:id="8"/>
            <w:bookmarkEnd w:id="9"/>
          </w:p>
        </w:tc>
        <w:tc>
          <w:tcPr>
            <w:tcW w:w="1977" w:type="dxa"/>
            <w:tcBorders>
              <w:top w:val="single" w:color="auto" w:sz="4" w:space="0"/>
              <w:left w:val="single" w:color="auto" w:sz="4" w:space="0"/>
              <w:bottom w:val="single" w:color="auto" w:sz="4" w:space="0"/>
              <w:right w:val="single" w:color="auto" w:sz="4" w:space="0"/>
            </w:tcBorders>
          </w:tcPr>
          <w:p w14:paraId="5EF746AB">
            <w:pPr>
              <w:keepNext w:val="0"/>
              <w:keepLines w:val="0"/>
              <w:pageBreakBefore w:val="0"/>
              <w:kinsoku/>
              <w:overflowPunct/>
              <w:topLinePunct w:val="0"/>
              <w:bidi w:val="0"/>
              <w:snapToGrid w:val="0"/>
              <w:spacing w:beforeAutospacing="0" w:after="0" w:afterAutospacing="0"/>
              <w:rPr>
                <w:rFonts w:ascii="宋体"/>
                <w:sz w:val="24"/>
              </w:rPr>
            </w:pPr>
          </w:p>
        </w:tc>
        <w:tc>
          <w:tcPr>
            <w:tcW w:w="2058" w:type="dxa"/>
            <w:tcBorders>
              <w:top w:val="single" w:color="auto" w:sz="4" w:space="0"/>
              <w:left w:val="single" w:color="auto" w:sz="4" w:space="0"/>
              <w:bottom w:val="single" w:color="auto" w:sz="4" w:space="0"/>
              <w:right w:val="single" w:color="auto" w:sz="4" w:space="0"/>
            </w:tcBorders>
          </w:tcPr>
          <w:p w14:paraId="371A8C61">
            <w:pPr>
              <w:keepNext w:val="0"/>
              <w:keepLines w:val="0"/>
              <w:pageBreakBefore w:val="0"/>
              <w:kinsoku/>
              <w:overflowPunct/>
              <w:topLinePunct w:val="0"/>
              <w:bidi w:val="0"/>
              <w:snapToGrid w:val="0"/>
              <w:spacing w:beforeAutospacing="0" w:after="0" w:afterAutospacing="0"/>
              <w:rPr>
                <w:rFonts w:ascii="宋体"/>
                <w:sz w:val="24"/>
              </w:rPr>
            </w:pPr>
          </w:p>
        </w:tc>
        <w:tc>
          <w:tcPr>
            <w:tcW w:w="2640" w:type="dxa"/>
            <w:tcBorders>
              <w:top w:val="single" w:color="auto" w:sz="4" w:space="0"/>
              <w:left w:val="single" w:color="auto" w:sz="4" w:space="0"/>
              <w:bottom w:val="single" w:color="auto" w:sz="4" w:space="0"/>
              <w:right w:val="single" w:color="auto" w:sz="4" w:space="0"/>
            </w:tcBorders>
          </w:tcPr>
          <w:p w14:paraId="7163C893">
            <w:pPr>
              <w:keepNext w:val="0"/>
              <w:keepLines w:val="0"/>
              <w:pageBreakBefore w:val="0"/>
              <w:kinsoku/>
              <w:overflowPunct/>
              <w:topLinePunct w:val="0"/>
              <w:bidi w:val="0"/>
              <w:snapToGrid w:val="0"/>
              <w:spacing w:beforeAutospacing="0" w:after="0" w:afterAutospacing="0"/>
              <w:rPr>
                <w:rFonts w:ascii="宋体"/>
                <w:sz w:val="24"/>
              </w:rPr>
            </w:pPr>
          </w:p>
        </w:tc>
      </w:tr>
      <w:tr w14:paraId="36C3C0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268" w:type="dxa"/>
            <w:tcBorders>
              <w:top w:val="single" w:color="auto" w:sz="4" w:space="0"/>
              <w:left w:val="single" w:color="auto" w:sz="4" w:space="0"/>
              <w:bottom w:val="single" w:color="auto" w:sz="4" w:space="0"/>
              <w:right w:val="single" w:color="auto" w:sz="4" w:space="0"/>
            </w:tcBorders>
            <w:vAlign w:val="center"/>
          </w:tcPr>
          <w:p w14:paraId="42C92D7C">
            <w:pPr>
              <w:pStyle w:val="28"/>
              <w:keepNext w:val="0"/>
              <w:keepLines w:val="0"/>
              <w:pageBreakBefore w:val="0"/>
              <w:kinsoku/>
              <w:overflowPunct/>
              <w:topLinePunct w:val="0"/>
              <w:bidi w:val="0"/>
              <w:snapToGrid w:val="0"/>
              <w:spacing w:beforeLines="0" w:beforeAutospacing="0" w:after="0" w:afterLines="0" w:afterAutospacing="0" w:line="240" w:lineRule="auto"/>
              <w:outlineLvl w:val="0"/>
            </w:pPr>
            <w:bookmarkStart w:id="10" w:name="_Toc414870813"/>
            <w:bookmarkStart w:id="11" w:name="_Toc408477088"/>
            <w:r>
              <w:rPr>
                <w:rFonts w:hint="eastAsia"/>
              </w:rPr>
              <w:t>五、付款方式</w:t>
            </w:r>
            <w:bookmarkEnd w:id="10"/>
            <w:bookmarkEnd w:id="11"/>
          </w:p>
        </w:tc>
        <w:tc>
          <w:tcPr>
            <w:tcW w:w="1977" w:type="dxa"/>
            <w:tcBorders>
              <w:top w:val="single" w:color="auto" w:sz="4" w:space="0"/>
              <w:left w:val="single" w:color="auto" w:sz="4" w:space="0"/>
              <w:bottom w:val="single" w:color="auto" w:sz="4" w:space="0"/>
              <w:right w:val="single" w:color="auto" w:sz="4" w:space="0"/>
            </w:tcBorders>
          </w:tcPr>
          <w:p w14:paraId="250B7D96">
            <w:pPr>
              <w:keepNext w:val="0"/>
              <w:keepLines w:val="0"/>
              <w:pageBreakBefore w:val="0"/>
              <w:kinsoku/>
              <w:overflowPunct/>
              <w:topLinePunct w:val="0"/>
              <w:bidi w:val="0"/>
              <w:snapToGrid w:val="0"/>
              <w:spacing w:beforeAutospacing="0" w:after="0" w:afterAutospacing="0"/>
              <w:rPr>
                <w:rFonts w:ascii="宋体"/>
                <w:sz w:val="24"/>
              </w:rPr>
            </w:pPr>
          </w:p>
        </w:tc>
        <w:tc>
          <w:tcPr>
            <w:tcW w:w="2058" w:type="dxa"/>
            <w:tcBorders>
              <w:top w:val="single" w:color="auto" w:sz="4" w:space="0"/>
              <w:left w:val="single" w:color="auto" w:sz="4" w:space="0"/>
              <w:bottom w:val="single" w:color="auto" w:sz="4" w:space="0"/>
              <w:right w:val="single" w:color="auto" w:sz="4" w:space="0"/>
            </w:tcBorders>
          </w:tcPr>
          <w:p w14:paraId="48BDDB0E">
            <w:pPr>
              <w:keepNext w:val="0"/>
              <w:keepLines w:val="0"/>
              <w:pageBreakBefore w:val="0"/>
              <w:kinsoku/>
              <w:overflowPunct/>
              <w:topLinePunct w:val="0"/>
              <w:bidi w:val="0"/>
              <w:snapToGrid w:val="0"/>
              <w:spacing w:beforeAutospacing="0" w:after="0" w:afterAutospacing="0"/>
              <w:rPr>
                <w:rFonts w:ascii="宋体"/>
                <w:sz w:val="24"/>
              </w:rPr>
            </w:pPr>
          </w:p>
        </w:tc>
        <w:tc>
          <w:tcPr>
            <w:tcW w:w="2640" w:type="dxa"/>
            <w:tcBorders>
              <w:top w:val="single" w:color="auto" w:sz="4" w:space="0"/>
              <w:left w:val="single" w:color="auto" w:sz="4" w:space="0"/>
              <w:bottom w:val="single" w:color="auto" w:sz="4" w:space="0"/>
              <w:right w:val="single" w:color="auto" w:sz="4" w:space="0"/>
            </w:tcBorders>
          </w:tcPr>
          <w:p w14:paraId="743CC3DE">
            <w:pPr>
              <w:keepNext w:val="0"/>
              <w:keepLines w:val="0"/>
              <w:pageBreakBefore w:val="0"/>
              <w:kinsoku/>
              <w:overflowPunct/>
              <w:topLinePunct w:val="0"/>
              <w:bidi w:val="0"/>
              <w:snapToGrid w:val="0"/>
              <w:spacing w:beforeAutospacing="0" w:after="0" w:afterAutospacing="0"/>
              <w:rPr>
                <w:rFonts w:ascii="宋体"/>
                <w:sz w:val="24"/>
              </w:rPr>
            </w:pPr>
          </w:p>
        </w:tc>
      </w:tr>
      <w:tr w14:paraId="7FA957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268" w:type="dxa"/>
            <w:tcBorders>
              <w:top w:val="single" w:color="auto" w:sz="4" w:space="0"/>
              <w:left w:val="single" w:color="auto" w:sz="4" w:space="0"/>
              <w:bottom w:val="single" w:color="auto" w:sz="4" w:space="0"/>
              <w:right w:val="single" w:color="auto" w:sz="4" w:space="0"/>
            </w:tcBorders>
            <w:vAlign w:val="center"/>
          </w:tcPr>
          <w:p w14:paraId="0BABD425">
            <w:pPr>
              <w:pStyle w:val="28"/>
              <w:keepNext w:val="0"/>
              <w:keepLines w:val="0"/>
              <w:pageBreakBefore w:val="0"/>
              <w:kinsoku/>
              <w:overflowPunct/>
              <w:topLinePunct w:val="0"/>
              <w:bidi w:val="0"/>
              <w:snapToGrid w:val="0"/>
              <w:spacing w:beforeLines="0" w:beforeAutospacing="0" w:after="0" w:afterLines="0" w:afterAutospacing="0" w:line="240" w:lineRule="auto"/>
              <w:outlineLvl w:val="0"/>
            </w:pPr>
            <w:bookmarkStart w:id="12" w:name="_Toc408477089"/>
            <w:bookmarkStart w:id="13" w:name="_Toc414870814"/>
            <w:r>
              <w:rPr>
                <w:rFonts w:hint="eastAsia"/>
              </w:rPr>
              <w:t>六、安装</w:t>
            </w:r>
            <w:bookmarkEnd w:id="12"/>
            <w:bookmarkEnd w:id="13"/>
          </w:p>
        </w:tc>
        <w:tc>
          <w:tcPr>
            <w:tcW w:w="1977" w:type="dxa"/>
            <w:tcBorders>
              <w:top w:val="single" w:color="auto" w:sz="4" w:space="0"/>
              <w:left w:val="single" w:color="auto" w:sz="4" w:space="0"/>
              <w:bottom w:val="single" w:color="auto" w:sz="4" w:space="0"/>
              <w:right w:val="single" w:color="auto" w:sz="4" w:space="0"/>
            </w:tcBorders>
          </w:tcPr>
          <w:p w14:paraId="0DC5ABDC">
            <w:pPr>
              <w:keepNext w:val="0"/>
              <w:keepLines w:val="0"/>
              <w:pageBreakBefore w:val="0"/>
              <w:kinsoku/>
              <w:overflowPunct/>
              <w:topLinePunct w:val="0"/>
              <w:bidi w:val="0"/>
              <w:snapToGrid w:val="0"/>
              <w:spacing w:beforeAutospacing="0" w:after="0" w:afterAutospacing="0"/>
              <w:rPr>
                <w:rFonts w:ascii="宋体"/>
                <w:sz w:val="24"/>
              </w:rPr>
            </w:pPr>
          </w:p>
        </w:tc>
        <w:tc>
          <w:tcPr>
            <w:tcW w:w="2058" w:type="dxa"/>
            <w:tcBorders>
              <w:top w:val="single" w:color="auto" w:sz="4" w:space="0"/>
              <w:left w:val="single" w:color="auto" w:sz="4" w:space="0"/>
              <w:bottom w:val="single" w:color="auto" w:sz="4" w:space="0"/>
              <w:right w:val="single" w:color="auto" w:sz="4" w:space="0"/>
            </w:tcBorders>
          </w:tcPr>
          <w:p w14:paraId="6F7C4E4E">
            <w:pPr>
              <w:keepNext w:val="0"/>
              <w:keepLines w:val="0"/>
              <w:pageBreakBefore w:val="0"/>
              <w:kinsoku/>
              <w:overflowPunct/>
              <w:topLinePunct w:val="0"/>
              <w:bidi w:val="0"/>
              <w:snapToGrid w:val="0"/>
              <w:spacing w:beforeAutospacing="0" w:after="0" w:afterAutospacing="0"/>
              <w:rPr>
                <w:rFonts w:ascii="宋体"/>
                <w:sz w:val="24"/>
              </w:rPr>
            </w:pPr>
          </w:p>
        </w:tc>
        <w:tc>
          <w:tcPr>
            <w:tcW w:w="2640" w:type="dxa"/>
            <w:tcBorders>
              <w:top w:val="single" w:color="auto" w:sz="4" w:space="0"/>
              <w:left w:val="single" w:color="auto" w:sz="4" w:space="0"/>
              <w:bottom w:val="single" w:color="auto" w:sz="4" w:space="0"/>
              <w:right w:val="single" w:color="auto" w:sz="4" w:space="0"/>
            </w:tcBorders>
          </w:tcPr>
          <w:p w14:paraId="0F2AF34B">
            <w:pPr>
              <w:keepNext w:val="0"/>
              <w:keepLines w:val="0"/>
              <w:pageBreakBefore w:val="0"/>
              <w:kinsoku/>
              <w:overflowPunct/>
              <w:topLinePunct w:val="0"/>
              <w:bidi w:val="0"/>
              <w:snapToGrid w:val="0"/>
              <w:spacing w:beforeAutospacing="0" w:after="0" w:afterAutospacing="0"/>
              <w:rPr>
                <w:rFonts w:ascii="宋体"/>
                <w:sz w:val="24"/>
              </w:rPr>
            </w:pPr>
          </w:p>
        </w:tc>
      </w:tr>
      <w:tr w14:paraId="4821FE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268" w:type="dxa"/>
            <w:tcBorders>
              <w:top w:val="single" w:color="auto" w:sz="4" w:space="0"/>
              <w:left w:val="single" w:color="auto" w:sz="4" w:space="0"/>
              <w:bottom w:val="single" w:color="auto" w:sz="4" w:space="0"/>
              <w:right w:val="single" w:color="auto" w:sz="4" w:space="0"/>
            </w:tcBorders>
            <w:vAlign w:val="center"/>
          </w:tcPr>
          <w:p w14:paraId="6C589237">
            <w:pPr>
              <w:pStyle w:val="28"/>
              <w:keepNext w:val="0"/>
              <w:keepLines w:val="0"/>
              <w:pageBreakBefore w:val="0"/>
              <w:kinsoku/>
              <w:overflowPunct/>
              <w:topLinePunct w:val="0"/>
              <w:bidi w:val="0"/>
              <w:snapToGrid w:val="0"/>
              <w:spacing w:beforeLines="0" w:beforeAutospacing="0" w:after="0" w:afterLines="0" w:afterAutospacing="0" w:line="240" w:lineRule="auto"/>
              <w:outlineLvl w:val="0"/>
            </w:pPr>
            <w:bookmarkStart w:id="14" w:name="_Toc408477090"/>
            <w:bookmarkStart w:id="15" w:name="_Toc414870815"/>
            <w:r>
              <w:rPr>
                <w:rFonts w:hint="eastAsia"/>
              </w:rPr>
              <w:t>七、培训</w:t>
            </w:r>
            <w:bookmarkEnd w:id="14"/>
            <w:bookmarkEnd w:id="15"/>
          </w:p>
        </w:tc>
        <w:tc>
          <w:tcPr>
            <w:tcW w:w="1977" w:type="dxa"/>
            <w:tcBorders>
              <w:top w:val="single" w:color="auto" w:sz="4" w:space="0"/>
              <w:left w:val="single" w:color="auto" w:sz="4" w:space="0"/>
              <w:bottom w:val="single" w:color="auto" w:sz="4" w:space="0"/>
              <w:right w:val="single" w:color="auto" w:sz="4" w:space="0"/>
            </w:tcBorders>
          </w:tcPr>
          <w:p w14:paraId="565E861F">
            <w:pPr>
              <w:keepNext w:val="0"/>
              <w:keepLines w:val="0"/>
              <w:pageBreakBefore w:val="0"/>
              <w:kinsoku/>
              <w:overflowPunct/>
              <w:topLinePunct w:val="0"/>
              <w:bidi w:val="0"/>
              <w:snapToGrid w:val="0"/>
              <w:spacing w:beforeAutospacing="0" w:after="0" w:afterAutospacing="0"/>
              <w:rPr>
                <w:rFonts w:ascii="宋体"/>
                <w:sz w:val="24"/>
              </w:rPr>
            </w:pPr>
          </w:p>
        </w:tc>
        <w:tc>
          <w:tcPr>
            <w:tcW w:w="2058" w:type="dxa"/>
            <w:tcBorders>
              <w:top w:val="single" w:color="auto" w:sz="4" w:space="0"/>
              <w:left w:val="single" w:color="auto" w:sz="4" w:space="0"/>
              <w:bottom w:val="single" w:color="auto" w:sz="4" w:space="0"/>
              <w:right w:val="single" w:color="auto" w:sz="4" w:space="0"/>
            </w:tcBorders>
          </w:tcPr>
          <w:p w14:paraId="668E7563">
            <w:pPr>
              <w:keepNext w:val="0"/>
              <w:keepLines w:val="0"/>
              <w:pageBreakBefore w:val="0"/>
              <w:kinsoku/>
              <w:overflowPunct/>
              <w:topLinePunct w:val="0"/>
              <w:bidi w:val="0"/>
              <w:snapToGrid w:val="0"/>
              <w:spacing w:beforeAutospacing="0" w:after="0" w:afterAutospacing="0"/>
              <w:rPr>
                <w:rFonts w:ascii="宋体"/>
                <w:sz w:val="24"/>
              </w:rPr>
            </w:pPr>
          </w:p>
        </w:tc>
        <w:tc>
          <w:tcPr>
            <w:tcW w:w="2640" w:type="dxa"/>
            <w:tcBorders>
              <w:top w:val="single" w:color="auto" w:sz="4" w:space="0"/>
              <w:left w:val="single" w:color="auto" w:sz="4" w:space="0"/>
              <w:bottom w:val="single" w:color="auto" w:sz="4" w:space="0"/>
              <w:right w:val="single" w:color="auto" w:sz="4" w:space="0"/>
            </w:tcBorders>
          </w:tcPr>
          <w:p w14:paraId="2A2D358B">
            <w:pPr>
              <w:keepNext w:val="0"/>
              <w:keepLines w:val="0"/>
              <w:pageBreakBefore w:val="0"/>
              <w:kinsoku/>
              <w:overflowPunct/>
              <w:topLinePunct w:val="0"/>
              <w:bidi w:val="0"/>
              <w:snapToGrid w:val="0"/>
              <w:spacing w:beforeAutospacing="0" w:after="0" w:afterAutospacing="0"/>
              <w:rPr>
                <w:rFonts w:ascii="宋体"/>
                <w:sz w:val="24"/>
              </w:rPr>
            </w:pPr>
          </w:p>
        </w:tc>
      </w:tr>
      <w:tr w14:paraId="56A06F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268" w:type="dxa"/>
            <w:tcBorders>
              <w:top w:val="single" w:color="auto" w:sz="4" w:space="0"/>
              <w:left w:val="single" w:color="auto" w:sz="4" w:space="0"/>
              <w:bottom w:val="single" w:color="auto" w:sz="4" w:space="0"/>
              <w:right w:val="single" w:color="auto" w:sz="4" w:space="0"/>
            </w:tcBorders>
            <w:vAlign w:val="center"/>
          </w:tcPr>
          <w:p w14:paraId="6ADAB45B">
            <w:pPr>
              <w:pStyle w:val="28"/>
              <w:keepNext w:val="0"/>
              <w:keepLines w:val="0"/>
              <w:pageBreakBefore w:val="0"/>
              <w:kinsoku/>
              <w:overflowPunct/>
              <w:topLinePunct w:val="0"/>
              <w:bidi w:val="0"/>
              <w:snapToGrid w:val="0"/>
              <w:spacing w:beforeLines="0" w:beforeAutospacing="0" w:after="0" w:afterLines="0" w:afterAutospacing="0" w:line="240" w:lineRule="auto"/>
              <w:outlineLvl w:val="0"/>
            </w:pPr>
            <w:bookmarkStart w:id="16" w:name="_Toc414870816"/>
            <w:r>
              <w:rPr>
                <w:rFonts w:hint="eastAsia"/>
              </w:rPr>
              <w:t>……</w:t>
            </w:r>
            <w:bookmarkEnd w:id="16"/>
          </w:p>
        </w:tc>
        <w:tc>
          <w:tcPr>
            <w:tcW w:w="1977" w:type="dxa"/>
            <w:tcBorders>
              <w:top w:val="single" w:color="auto" w:sz="4" w:space="0"/>
              <w:left w:val="single" w:color="auto" w:sz="4" w:space="0"/>
              <w:bottom w:val="single" w:color="auto" w:sz="4" w:space="0"/>
              <w:right w:val="single" w:color="auto" w:sz="4" w:space="0"/>
            </w:tcBorders>
          </w:tcPr>
          <w:p w14:paraId="4FD77257">
            <w:pPr>
              <w:keepNext w:val="0"/>
              <w:keepLines w:val="0"/>
              <w:pageBreakBefore w:val="0"/>
              <w:kinsoku/>
              <w:overflowPunct/>
              <w:topLinePunct w:val="0"/>
              <w:bidi w:val="0"/>
              <w:snapToGrid w:val="0"/>
              <w:spacing w:beforeAutospacing="0" w:after="0" w:afterAutospacing="0"/>
              <w:rPr>
                <w:rFonts w:ascii="宋体"/>
                <w:sz w:val="24"/>
              </w:rPr>
            </w:pPr>
          </w:p>
        </w:tc>
        <w:tc>
          <w:tcPr>
            <w:tcW w:w="2058" w:type="dxa"/>
            <w:tcBorders>
              <w:top w:val="single" w:color="auto" w:sz="4" w:space="0"/>
              <w:left w:val="single" w:color="auto" w:sz="4" w:space="0"/>
              <w:bottom w:val="single" w:color="auto" w:sz="4" w:space="0"/>
              <w:right w:val="single" w:color="auto" w:sz="4" w:space="0"/>
            </w:tcBorders>
          </w:tcPr>
          <w:p w14:paraId="4C3FEBC5">
            <w:pPr>
              <w:keepNext w:val="0"/>
              <w:keepLines w:val="0"/>
              <w:pageBreakBefore w:val="0"/>
              <w:kinsoku/>
              <w:overflowPunct/>
              <w:topLinePunct w:val="0"/>
              <w:bidi w:val="0"/>
              <w:snapToGrid w:val="0"/>
              <w:spacing w:beforeAutospacing="0" w:after="0" w:afterAutospacing="0"/>
              <w:rPr>
                <w:rFonts w:ascii="宋体"/>
                <w:sz w:val="24"/>
              </w:rPr>
            </w:pPr>
          </w:p>
        </w:tc>
        <w:tc>
          <w:tcPr>
            <w:tcW w:w="2640" w:type="dxa"/>
            <w:tcBorders>
              <w:top w:val="single" w:color="auto" w:sz="4" w:space="0"/>
              <w:left w:val="single" w:color="auto" w:sz="4" w:space="0"/>
              <w:bottom w:val="single" w:color="auto" w:sz="4" w:space="0"/>
              <w:right w:val="single" w:color="auto" w:sz="4" w:space="0"/>
            </w:tcBorders>
          </w:tcPr>
          <w:p w14:paraId="4C519305">
            <w:pPr>
              <w:keepNext w:val="0"/>
              <w:keepLines w:val="0"/>
              <w:pageBreakBefore w:val="0"/>
              <w:kinsoku/>
              <w:overflowPunct/>
              <w:topLinePunct w:val="0"/>
              <w:bidi w:val="0"/>
              <w:snapToGrid w:val="0"/>
              <w:spacing w:beforeAutospacing="0" w:after="0" w:afterAutospacing="0"/>
              <w:rPr>
                <w:rFonts w:ascii="宋体"/>
                <w:sz w:val="24"/>
              </w:rPr>
            </w:pPr>
          </w:p>
        </w:tc>
      </w:tr>
      <w:tr w14:paraId="7D94FA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268" w:type="dxa"/>
            <w:tcBorders>
              <w:top w:val="single" w:color="auto" w:sz="4" w:space="0"/>
              <w:left w:val="single" w:color="auto" w:sz="4" w:space="0"/>
              <w:bottom w:val="single" w:color="auto" w:sz="4" w:space="0"/>
              <w:right w:val="single" w:color="auto" w:sz="4" w:space="0"/>
            </w:tcBorders>
            <w:vAlign w:val="center"/>
          </w:tcPr>
          <w:p w14:paraId="53F265F0">
            <w:pPr>
              <w:pStyle w:val="28"/>
              <w:keepNext w:val="0"/>
              <w:keepLines w:val="0"/>
              <w:pageBreakBefore w:val="0"/>
              <w:kinsoku/>
              <w:overflowPunct/>
              <w:topLinePunct w:val="0"/>
              <w:bidi w:val="0"/>
              <w:snapToGrid w:val="0"/>
              <w:spacing w:beforeLines="0" w:beforeAutospacing="0" w:after="0" w:afterLines="0" w:afterAutospacing="0" w:line="240" w:lineRule="auto"/>
              <w:outlineLvl w:val="0"/>
            </w:pPr>
            <w:bookmarkStart w:id="17" w:name="_Toc408477092"/>
            <w:bookmarkStart w:id="18" w:name="_Toc414870817"/>
            <w:r>
              <w:rPr>
                <w:rFonts w:hint="eastAsia"/>
              </w:rPr>
              <w:t>……</w:t>
            </w:r>
            <w:bookmarkEnd w:id="17"/>
            <w:bookmarkEnd w:id="18"/>
          </w:p>
        </w:tc>
        <w:tc>
          <w:tcPr>
            <w:tcW w:w="1977" w:type="dxa"/>
            <w:tcBorders>
              <w:top w:val="single" w:color="auto" w:sz="4" w:space="0"/>
              <w:left w:val="single" w:color="auto" w:sz="4" w:space="0"/>
              <w:bottom w:val="single" w:color="auto" w:sz="4" w:space="0"/>
              <w:right w:val="single" w:color="auto" w:sz="4" w:space="0"/>
            </w:tcBorders>
          </w:tcPr>
          <w:p w14:paraId="55684CDF">
            <w:pPr>
              <w:keepNext w:val="0"/>
              <w:keepLines w:val="0"/>
              <w:pageBreakBefore w:val="0"/>
              <w:kinsoku/>
              <w:overflowPunct/>
              <w:topLinePunct w:val="0"/>
              <w:bidi w:val="0"/>
              <w:snapToGrid w:val="0"/>
              <w:spacing w:beforeAutospacing="0" w:after="0" w:afterAutospacing="0"/>
              <w:rPr>
                <w:rFonts w:ascii="宋体"/>
                <w:sz w:val="24"/>
              </w:rPr>
            </w:pPr>
          </w:p>
        </w:tc>
        <w:tc>
          <w:tcPr>
            <w:tcW w:w="2058" w:type="dxa"/>
            <w:tcBorders>
              <w:top w:val="single" w:color="auto" w:sz="4" w:space="0"/>
              <w:left w:val="single" w:color="auto" w:sz="4" w:space="0"/>
              <w:bottom w:val="single" w:color="auto" w:sz="4" w:space="0"/>
              <w:right w:val="single" w:color="auto" w:sz="4" w:space="0"/>
            </w:tcBorders>
          </w:tcPr>
          <w:p w14:paraId="2DC7FE21">
            <w:pPr>
              <w:keepNext w:val="0"/>
              <w:keepLines w:val="0"/>
              <w:pageBreakBefore w:val="0"/>
              <w:kinsoku/>
              <w:overflowPunct/>
              <w:topLinePunct w:val="0"/>
              <w:bidi w:val="0"/>
              <w:snapToGrid w:val="0"/>
              <w:spacing w:beforeAutospacing="0" w:after="0" w:afterAutospacing="0"/>
              <w:rPr>
                <w:rFonts w:ascii="宋体"/>
                <w:sz w:val="24"/>
              </w:rPr>
            </w:pPr>
          </w:p>
        </w:tc>
        <w:tc>
          <w:tcPr>
            <w:tcW w:w="2640" w:type="dxa"/>
            <w:tcBorders>
              <w:top w:val="single" w:color="auto" w:sz="4" w:space="0"/>
              <w:left w:val="single" w:color="auto" w:sz="4" w:space="0"/>
              <w:bottom w:val="single" w:color="auto" w:sz="4" w:space="0"/>
              <w:right w:val="single" w:color="auto" w:sz="4" w:space="0"/>
            </w:tcBorders>
          </w:tcPr>
          <w:p w14:paraId="4DA8E5BF">
            <w:pPr>
              <w:keepNext w:val="0"/>
              <w:keepLines w:val="0"/>
              <w:pageBreakBefore w:val="0"/>
              <w:kinsoku/>
              <w:overflowPunct/>
              <w:topLinePunct w:val="0"/>
              <w:bidi w:val="0"/>
              <w:snapToGrid w:val="0"/>
              <w:spacing w:beforeAutospacing="0" w:after="0" w:afterAutospacing="0"/>
              <w:rPr>
                <w:rFonts w:ascii="宋体"/>
                <w:sz w:val="24"/>
              </w:rPr>
            </w:pPr>
          </w:p>
        </w:tc>
      </w:tr>
    </w:tbl>
    <w:p w14:paraId="7BCA10DD">
      <w:pPr>
        <w:keepNext w:val="0"/>
        <w:keepLines w:val="0"/>
        <w:pageBreakBefore w:val="0"/>
        <w:kinsoku/>
        <w:overflowPunct/>
        <w:topLinePunct w:val="0"/>
        <w:bidi w:val="0"/>
        <w:snapToGrid w:val="0"/>
        <w:spacing w:beforeAutospacing="0" w:after="0" w:afterAutospacing="0"/>
        <w:rPr>
          <w:rFonts w:ascii="宋体"/>
          <w:sz w:val="24"/>
          <w:szCs w:val="20"/>
        </w:rPr>
      </w:pPr>
    </w:p>
    <w:p w14:paraId="29439749">
      <w:pPr>
        <w:keepNext w:val="0"/>
        <w:keepLines w:val="0"/>
        <w:pageBreakBefore w:val="0"/>
        <w:kinsoku/>
        <w:overflowPunct/>
        <w:topLinePunct w:val="0"/>
        <w:bidi w:val="0"/>
        <w:snapToGrid w:val="0"/>
        <w:spacing w:beforeAutospacing="0" w:after="0" w:afterAutospacing="0"/>
        <w:rPr>
          <w:rFonts w:ascii="宋体"/>
          <w:spacing w:val="20"/>
          <w:sz w:val="24"/>
          <w:szCs w:val="20"/>
          <w:u w:val="single"/>
        </w:rPr>
      </w:pPr>
      <w:r>
        <w:rPr>
          <w:rFonts w:hint="eastAsia" w:ascii="宋体"/>
          <w:sz w:val="24"/>
        </w:rPr>
        <w:t>法定代表人或委托代理人签字</w:t>
      </w:r>
      <w:r>
        <w:rPr>
          <w:rFonts w:hint="eastAsia" w:ascii="宋体"/>
          <w:spacing w:val="20"/>
          <w:sz w:val="24"/>
        </w:rPr>
        <w:t>：</w:t>
      </w:r>
    </w:p>
    <w:p w14:paraId="3CC5A04D">
      <w:pPr>
        <w:keepNext w:val="0"/>
        <w:keepLines w:val="0"/>
        <w:pageBreakBefore w:val="0"/>
        <w:kinsoku/>
        <w:overflowPunct/>
        <w:topLinePunct w:val="0"/>
        <w:bidi w:val="0"/>
        <w:snapToGrid w:val="0"/>
        <w:spacing w:beforeAutospacing="0" w:after="0" w:afterAutospacing="0"/>
        <w:rPr>
          <w:rFonts w:ascii="宋体"/>
          <w:spacing w:val="20"/>
          <w:sz w:val="24"/>
          <w:u w:val="single"/>
        </w:rPr>
      </w:pPr>
      <w:r>
        <w:rPr>
          <w:rFonts w:hint="eastAsia" w:ascii="宋体"/>
          <w:spacing w:val="20"/>
          <w:sz w:val="24"/>
        </w:rPr>
        <w:t>投标人盖章：              日 期：</w:t>
      </w:r>
    </w:p>
    <w:p w14:paraId="03AD7784">
      <w:pPr>
        <w:keepNext w:val="0"/>
        <w:keepLines w:val="0"/>
        <w:pageBreakBefore w:val="0"/>
        <w:kinsoku/>
        <w:overflowPunct/>
        <w:topLinePunct w:val="0"/>
        <w:bidi w:val="0"/>
        <w:snapToGrid w:val="0"/>
        <w:spacing w:beforeAutospacing="0" w:after="0" w:afterAutospacing="0"/>
        <w:rPr>
          <w:rFonts w:ascii="宋体"/>
          <w:spacing w:val="20"/>
          <w:sz w:val="24"/>
          <w:u w:val="single"/>
        </w:rPr>
      </w:pPr>
    </w:p>
    <w:p w14:paraId="412312BE">
      <w:pPr>
        <w:keepNext w:val="0"/>
        <w:keepLines w:val="0"/>
        <w:pageBreakBefore w:val="0"/>
        <w:kinsoku/>
        <w:overflowPunct/>
        <w:topLinePunct w:val="0"/>
        <w:bidi w:val="0"/>
        <w:snapToGrid w:val="0"/>
        <w:spacing w:beforeAutospacing="0" w:after="0" w:afterAutospacing="0"/>
        <w:rPr>
          <w:rFonts w:ascii="宋体"/>
          <w:spacing w:val="20"/>
          <w:sz w:val="24"/>
          <w:u w:val="single"/>
        </w:rPr>
      </w:pPr>
    </w:p>
    <w:p w14:paraId="6A8D1459">
      <w:pPr>
        <w:keepNext w:val="0"/>
        <w:keepLines w:val="0"/>
        <w:pageBreakBefore w:val="0"/>
        <w:kinsoku/>
        <w:overflowPunct/>
        <w:topLinePunct w:val="0"/>
        <w:bidi w:val="0"/>
        <w:snapToGrid w:val="0"/>
        <w:spacing w:beforeAutospacing="0" w:after="0" w:afterAutospacing="0"/>
        <w:rPr>
          <w:rFonts w:ascii="宋体"/>
          <w:spacing w:val="20"/>
          <w:sz w:val="24"/>
          <w:u w:val="single"/>
        </w:rPr>
      </w:pPr>
    </w:p>
    <w:p w14:paraId="3FAFC657">
      <w:pPr>
        <w:keepNext w:val="0"/>
        <w:keepLines w:val="0"/>
        <w:pageBreakBefore w:val="0"/>
        <w:kinsoku/>
        <w:overflowPunct/>
        <w:topLinePunct w:val="0"/>
        <w:bidi w:val="0"/>
        <w:snapToGrid w:val="0"/>
        <w:spacing w:beforeAutospacing="0" w:after="0" w:afterAutospacing="0"/>
        <w:jc w:val="left"/>
        <w:rPr>
          <w:rFonts w:ascii="宋体"/>
          <w:b/>
          <w:sz w:val="24"/>
        </w:rPr>
      </w:pPr>
    </w:p>
    <w:p w14:paraId="7D4D8E43">
      <w:pPr>
        <w:keepNext w:val="0"/>
        <w:keepLines w:val="0"/>
        <w:pageBreakBefore w:val="0"/>
        <w:kinsoku/>
        <w:overflowPunct/>
        <w:topLinePunct w:val="0"/>
        <w:bidi w:val="0"/>
        <w:snapToGrid w:val="0"/>
        <w:spacing w:beforeAutospacing="0" w:after="0" w:afterAutospacing="0"/>
        <w:jc w:val="left"/>
        <w:rPr>
          <w:rFonts w:ascii="宋体"/>
          <w:b/>
          <w:sz w:val="24"/>
        </w:rPr>
      </w:pPr>
    </w:p>
    <w:p w14:paraId="49C91D38">
      <w:pPr>
        <w:keepNext w:val="0"/>
        <w:keepLines w:val="0"/>
        <w:pageBreakBefore w:val="0"/>
        <w:kinsoku/>
        <w:overflowPunct/>
        <w:topLinePunct w:val="0"/>
        <w:bidi w:val="0"/>
        <w:snapToGrid w:val="0"/>
        <w:spacing w:beforeAutospacing="0" w:after="0" w:afterAutospacing="0"/>
        <w:jc w:val="left"/>
        <w:rPr>
          <w:rFonts w:ascii="宋体"/>
          <w:b/>
          <w:sz w:val="24"/>
        </w:rPr>
      </w:pPr>
    </w:p>
    <w:p w14:paraId="79A1A752">
      <w:pPr>
        <w:keepNext w:val="0"/>
        <w:keepLines w:val="0"/>
        <w:pageBreakBefore w:val="0"/>
        <w:kinsoku/>
        <w:overflowPunct/>
        <w:topLinePunct w:val="0"/>
        <w:bidi w:val="0"/>
        <w:snapToGrid w:val="0"/>
        <w:spacing w:beforeAutospacing="0" w:after="0" w:afterAutospacing="0"/>
        <w:jc w:val="left"/>
        <w:rPr>
          <w:rFonts w:ascii="宋体"/>
          <w:b/>
          <w:sz w:val="24"/>
        </w:rPr>
      </w:pPr>
    </w:p>
    <w:p w14:paraId="1FEC6535">
      <w:pPr>
        <w:keepNext w:val="0"/>
        <w:keepLines w:val="0"/>
        <w:pageBreakBefore w:val="0"/>
        <w:kinsoku/>
        <w:overflowPunct/>
        <w:topLinePunct w:val="0"/>
        <w:bidi w:val="0"/>
        <w:snapToGrid w:val="0"/>
        <w:spacing w:beforeAutospacing="0" w:after="0" w:afterAutospacing="0"/>
        <w:jc w:val="left"/>
        <w:rPr>
          <w:rFonts w:ascii="宋体"/>
          <w:b/>
          <w:sz w:val="24"/>
        </w:rPr>
      </w:pPr>
    </w:p>
    <w:p w14:paraId="25600384">
      <w:pPr>
        <w:keepNext w:val="0"/>
        <w:keepLines w:val="0"/>
        <w:pageBreakBefore w:val="0"/>
        <w:kinsoku/>
        <w:overflowPunct/>
        <w:topLinePunct w:val="0"/>
        <w:bidi w:val="0"/>
        <w:spacing w:beforeAutospacing="0" w:after="0" w:afterAutospacing="0"/>
      </w:pPr>
    </w:p>
    <w:p w14:paraId="0DBF214B">
      <w:pPr>
        <w:keepNext w:val="0"/>
        <w:keepLines w:val="0"/>
        <w:pageBreakBefore w:val="0"/>
        <w:kinsoku/>
        <w:overflowPunct/>
        <w:topLinePunct w:val="0"/>
        <w:bidi w:val="0"/>
        <w:spacing w:beforeAutospacing="0" w:after="0" w:afterAutospacing="0"/>
      </w:pPr>
    </w:p>
    <w:p w14:paraId="74D1D2DB">
      <w:pPr>
        <w:keepNext w:val="0"/>
        <w:keepLines w:val="0"/>
        <w:pageBreakBefore w:val="0"/>
        <w:kinsoku/>
        <w:overflowPunct/>
        <w:topLinePunct w:val="0"/>
        <w:bidi w:val="0"/>
        <w:spacing w:beforeAutospacing="0" w:after="0" w:afterAutospacing="0"/>
      </w:pPr>
    </w:p>
    <w:p w14:paraId="3ADE7A64">
      <w:pPr>
        <w:keepNext w:val="0"/>
        <w:keepLines w:val="0"/>
        <w:pageBreakBefore w:val="0"/>
        <w:kinsoku/>
        <w:overflowPunct/>
        <w:topLinePunct w:val="0"/>
        <w:bidi w:val="0"/>
        <w:spacing w:beforeAutospacing="0" w:after="0" w:afterAutospacing="0"/>
        <w:rPr>
          <w:rFonts w:ascii="宋体" w:hAnsi="宋体"/>
          <w:b/>
          <w:sz w:val="24"/>
        </w:rPr>
      </w:pPr>
      <w:r>
        <w:rPr>
          <w:rFonts w:hint="eastAsia" w:ascii="宋体" w:hAnsi="宋体"/>
          <w:b/>
          <w:sz w:val="24"/>
        </w:rPr>
        <w:br w:type="page"/>
      </w:r>
    </w:p>
    <w:p w14:paraId="2396D6DA">
      <w:pPr>
        <w:keepNext w:val="0"/>
        <w:keepLines w:val="0"/>
        <w:pageBreakBefore w:val="0"/>
        <w:kinsoku/>
        <w:overflowPunct/>
        <w:topLinePunct w:val="0"/>
        <w:bidi w:val="0"/>
        <w:snapToGrid w:val="0"/>
        <w:spacing w:beforeAutospacing="0" w:after="0" w:afterAutospacing="0" w:line="360" w:lineRule="auto"/>
        <w:jc w:val="left"/>
        <w:outlineLvl w:val="2"/>
        <w:rPr>
          <w:rFonts w:ascii="宋体" w:hAnsi="宋体"/>
          <w:b/>
          <w:sz w:val="24"/>
        </w:rPr>
      </w:pPr>
      <w:r>
        <w:rPr>
          <w:rFonts w:hint="eastAsia" w:ascii="宋体" w:hAnsi="宋体"/>
          <w:b/>
          <w:sz w:val="24"/>
        </w:rPr>
        <w:t>2.9投标产品服务计划表：</w:t>
      </w:r>
    </w:p>
    <w:p w14:paraId="22CFF576">
      <w:pPr>
        <w:keepNext w:val="0"/>
        <w:keepLines w:val="0"/>
        <w:pageBreakBefore w:val="0"/>
        <w:kinsoku/>
        <w:overflowPunct/>
        <w:topLinePunct w:val="0"/>
        <w:bidi w:val="0"/>
        <w:snapToGrid w:val="0"/>
        <w:spacing w:beforeAutospacing="0" w:after="0" w:afterAutospacing="0" w:line="360" w:lineRule="auto"/>
        <w:jc w:val="center"/>
        <w:rPr>
          <w:rFonts w:ascii="宋体" w:hAnsi="宋体"/>
          <w:b/>
          <w:sz w:val="24"/>
        </w:rPr>
      </w:pPr>
      <w:r>
        <w:rPr>
          <w:rFonts w:hint="eastAsia" w:ascii="宋体" w:hAnsi="宋体"/>
          <w:b/>
          <w:sz w:val="24"/>
        </w:rPr>
        <w:t>投标产品服务计划表</w:t>
      </w:r>
    </w:p>
    <w:p w14:paraId="65EACCC6">
      <w:pPr>
        <w:keepNext w:val="0"/>
        <w:keepLines w:val="0"/>
        <w:pageBreakBefore w:val="0"/>
        <w:kinsoku/>
        <w:overflowPunct/>
        <w:topLinePunct w:val="0"/>
        <w:bidi w:val="0"/>
        <w:snapToGrid w:val="0"/>
        <w:spacing w:beforeAutospacing="0" w:after="0" w:afterAutospacing="0" w:line="360" w:lineRule="auto"/>
        <w:jc w:val="center"/>
        <w:rPr>
          <w:rFonts w:ascii="宋体" w:hAnsi="宋体"/>
          <w:b/>
          <w:sz w:val="24"/>
        </w:rPr>
      </w:pPr>
    </w:p>
    <w:tbl>
      <w:tblPr>
        <w:tblStyle w:val="49"/>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739"/>
        <w:gridCol w:w="1825"/>
        <w:gridCol w:w="1896"/>
      </w:tblGrid>
      <w:tr w14:paraId="51EFF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28" w:type="dxa"/>
            <w:vAlign w:val="center"/>
          </w:tcPr>
          <w:p w14:paraId="1D2643C3">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序号</w:t>
            </w:r>
          </w:p>
        </w:tc>
        <w:tc>
          <w:tcPr>
            <w:tcW w:w="4739" w:type="dxa"/>
            <w:vAlign w:val="center"/>
          </w:tcPr>
          <w:p w14:paraId="12A4D830">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质量保障措施及服务内容</w:t>
            </w:r>
          </w:p>
        </w:tc>
        <w:tc>
          <w:tcPr>
            <w:tcW w:w="1825" w:type="dxa"/>
            <w:vAlign w:val="center"/>
          </w:tcPr>
          <w:p w14:paraId="00B52D78">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承诺</w:t>
            </w:r>
          </w:p>
        </w:tc>
        <w:tc>
          <w:tcPr>
            <w:tcW w:w="1896" w:type="dxa"/>
            <w:vAlign w:val="center"/>
          </w:tcPr>
          <w:p w14:paraId="64EB7A96">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备注</w:t>
            </w:r>
          </w:p>
        </w:tc>
      </w:tr>
      <w:tr w14:paraId="6DE7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28" w:type="dxa"/>
            <w:vAlign w:val="center"/>
          </w:tcPr>
          <w:p w14:paraId="5F6D4461">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1</w:t>
            </w:r>
          </w:p>
        </w:tc>
        <w:tc>
          <w:tcPr>
            <w:tcW w:w="4739" w:type="dxa"/>
            <w:vAlign w:val="center"/>
          </w:tcPr>
          <w:p w14:paraId="7AEACB2C">
            <w:pPr>
              <w:keepNext w:val="0"/>
              <w:keepLines w:val="0"/>
              <w:pageBreakBefore w:val="0"/>
              <w:kinsoku/>
              <w:overflowPunct/>
              <w:topLinePunct w:val="0"/>
              <w:bidi w:val="0"/>
              <w:spacing w:beforeAutospacing="0" w:after="0" w:afterAutospacing="0" w:line="360" w:lineRule="auto"/>
              <w:rPr>
                <w:rFonts w:ascii="宋体" w:hAnsi="宋体"/>
                <w:sz w:val="24"/>
              </w:rPr>
            </w:pPr>
            <w:r>
              <w:rPr>
                <w:rFonts w:hint="eastAsia" w:ascii="宋体" w:hAnsi="宋体"/>
                <w:sz w:val="24"/>
              </w:rPr>
              <w:t>整机保修</w:t>
            </w:r>
          </w:p>
        </w:tc>
        <w:tc>
          <w:tcPr>
            <w:tcW w:w="1825" w:type="dxa"/>
          </w:tcPr>
          <w:p w14:paraId="4DF8F65D">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96" w:type="dxa"/>
          </w:tcPr>
          <w:p w14:paraId="69374F16">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2A06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28" w:type="dxa"/>
            <w:vAlign w:val="center"/>
          </w:tcPr>
          <w:p w14:paraId="4E2D291D">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2</w:t>
            </w:r>
          </w:p>
        </w:tc>
        <w:tc>
          <w:tcPr>
            <w:tcW w:w="4739" w:type="dxa"/>
            <w:vAlign w:val="center"/>
          </w:tcPr>
          <w:p w14:paraId="6330BA09">
            <w:pPr>
              <w:keepNext w:val="0"/>
              <w:keepLines w:val="0"/>
              <w:pageBreakBefore w:val="0"/>
              <w:kinsoku/>
              <w:overflowPunct/>
              <w:topLinePunct w:val="0"/>
              <w:bidi w:val="0"/>
              <w:spacing w:beforeAutospacing="0" w:after="0" w:afterAutospacing="0" w:line="360" w:lineRule="auto"/>
              <w:rPr>
                <w:rFonts w:ascii="宋体" w:hAnsi="宋体"/>
                <w:sz w:val="24"/>
              </w:rPr>
            </w:pPr>
            <w:r>
              <w:rPr>
                <w:rFonts w:hint="eastAsia" w:ascii="宋体" w:hAnsi="宋体"/>
                <w:sz w:val="24"/>
              </w:rPr>
              <w:t>有关技术人员现场免费提供安装、调试服务</w:t>
            </w:r>
          </w:p>
        </w:tc>
        <w:tc>
          <w:tcPr>
            <w:tcW w:w="1825" w:type="dxa"/>
          </w:tcPr>
          <w:p w14:paraId="0316153E">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96" w:type="dxa"/>
          </w:tcPr>
          <w:p w14:paraId="406F2D32">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26F3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28" w:type="dxa"/>
            <w:vAlign w:val="center"/>
          </w:tcPr>
          <w:p w14:paraId="72C26AAF">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3</w:t>
            </w:r>
          </w:p>
        </w:tc>
        <w:tc>
          <w:tcPr>
            <w:tcW w:w="4739" w:type="dxa"/>
            <w:vAlign w:val="center"/>
          </w:tcPr>
          <w:p w14:paraId="156A8AC7">
            <w:pPr>
              <w:keepNext w:val="0"/>
              <w:keepLines w:val="0"/>
              <w:pageBreakBefore w:val="0"/>
              <w:kinsoku/>
              <w:overflowPunct/>
              <w:topLinePunct w:val="0"/>
              <w:bidi w:val="0"/>
              <w:spacing w:beforeAutospacing="0" w:after="0" w:afterAutospacing="0" w:line="360" w:lineRule="auto"/>
              <w:rPr>
                <w:rFonts w:ascii="宋体" w:hAnsi="宋体"/>
                <w:sz w:val="24"/>
              </w:rPr>
            </w:pPr>
            <w:r>
              <w:rPr>
                <w:rFonts w:hint="eastAsia" w:ascii="宋体" w:hAnsi="宋体"/>
                <w:sz w:val="24"/>
              </w:rPr>
              <w:t>整机免费换货期限</w:t>
            </w:r>
          </w:p>
        </w:tc>
        <w:tc>
          <w:tcPr>
            <w:tcW w:w="1825" w:type="dxa"/>
          </w:tcPr>
          <w:p w14:paraId="2D0FF7DC">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96" w:type="dxa"/>
          </w:tcPr>
          <w:p w14:paraId="5C8548F2">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43D0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28" w:type="dxa"/>
            <w:vAlign w:val="center"/>
          </w:tcPr>
          <w:p w14:paraId="0D902666">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4</w:t>
            </w:r>
          </w:p>
        </w:tc>
        <w:tc>
          <w:tcPr>
            <w:tcW w:w="4739" w:type="dxa"/>
            <w:vAlign w:val="center"/>
          </w:tcPr>
          <w:p w14:paraId="7F96FAFC">
            <w:pPr>
              <w:keepNext w:val="0"/>
              <w:keepLines w:val="0"/>
              <w:pageBreakBefore w:val="0"/>
              <w:kinsoku/>
              <w:overflowPunct/>
              <w:topLinePunct w:val="0"/>
              <w:bidi w:val="0"/>
              <w:spacing w:beforeAutospacing="0" w:after="0" w:afterAutospacing="0" w:line="360" w:lineRule="auto"/>
              <w:rPr>
                <w:rFonts w:ascii="宋体" w:hAnsi="宋体"/>
                <w:sz w:val="24"/>
              </w:rPr>
            </w:pPr>
            <w:r>
              <w:rPr>
                <w:rFonts w:hint="eastAsia" w:ascii="宋体" w:hAnsi="宋体"/>
                <w:sz w:val="24"/>
              </w:rPr>
              <w:t>免费上门服务期限</w:t>
            </w:r>
          </w:p>
        </w:tc>
        <w:tc>
          <w:tcPr>
            <w:tcW w:w="1825" w:type="dxa"/>
          </w:tcPr>
          <w:p w14:paraId="24FBDB87">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96" w:type="dxa"/>
          </w:tcPr>
          <w:p w14:paraId="74A24375">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6561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28" w:type="dxa"/>
            <w:vAlign w:val="center"/>
          </w:tcPr>
          <w:p w14:paraId="7F7A2C42">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5</w:t>
            </w:r>
          </w:p>
        </w:tc>
        <w:tc>
          <w:tcPr>
            <w:tcW w:w="4739" w:type="dxa"/>
            <w:vAlign w:val="center"/>
          </w:tcPr>
          <w:p w14:paraId="30D4671A">
            <w:pPr>
              <w:keepNext w:val="0"/>
              <w:keepLines w:val="0"/>
              <w:pageBreakBefore w:val="0"/>
              <w:kinsoku/>
              <w:overflowPunct/>
              <w:topLinePunct w:val="0"/>
              <w:bidi w:val="0"/>
              <w:spacing w:beforeAutospacing="0" w:after="0" w:afterAutospacing="0" w:line="360" w:lineRule="auto"/>
              <w:rPr>
                <w:rFonts w:ascii="宋体" w:hAnsi="宋体"/>
                <w:sz w:val="24"/>
              </w:rPr>
            </w:pPr>
            <w:r>
              <w:rPr>
                <w:rFonts w:hint="eastAsia" w:ascii="宋体" w:hAnsi="宋体"/>
                <w:sz w:val="24"/>
              </w:rPr>
              <w:t>质保期内产品故障服务响应时限</w:t>
            </w:r>
          </w:p>
        </w:tc>
        <w:tc>
          <w:tcPr>
            <w:tcW w:w="1825" w:type="dxa"/>
          </w:tcPr>
          <w:p w14:paraId="3706EAF5">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96" w:type="dxa"/>
          </w:tcPr>
          <w:p w14:paraId="7E39154F">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0DC07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28" w:type="dxa"/>
            <w:vAlign w:val="center"/>
          </w:tcPr>
          <w:p w14:paraId="75815674">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6</w:t>
            </w:r>
          </w:p>
        </w:tc>
        <w:tc>
          <w:tcPr>
            <w:tcW w:w="4739" w:type="dxa"/>
            <w:vAlign w:val="center"/>
          </w:tcPr>
          <w:p w14:paraId="092717AF">
            <w:pPr>
              <w:keepNext w:val="0"/>
              <w:keepLines w:val="0"/>
              <w:pageBreakBefore w:val="0"/>
              <w:kinsoku/>
              <w:overflowPunct/>
              <w:topLinePunct w:val="0"/>
              <w:bidi w:val="0"/>
              <w:spacing w:beforeAutospacing="0" w:after="0" w:afterAutospacing="0" w:line="360" w:lineRule="auto"/>
              <w:rPr>
                <w:rFonts w:ascii="宋体" w:hAnsi="宋体"/>
                <w:sz w:val="24"/>
              </w:rPr>
            </w:pPr>
            <w:r>
              <w:rPr>
                <w:rFonts w:hint="eastAsia" w:ascii="宋体" w:hAnsi="宋体"/>
                <w:sz w:val="24"/>
              </w:rPr>
              <w:t>服务时间响应</w:t>
            </w:r>
          </w:p>
        </w:tc>
        <w:tc>
          <w:tcPr>
            <w:tcW w:w="1825" w:type="dxa"/>
          </w:tcPr>
          <w:p w14:paraId="5F3CED88">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96" w:type="dxa"/>
          </w:tcPr>
          <w:p w14:paraId="2EA5F739">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6C20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28" w:type="dxa"/>
            <w:vAlign w:val="center"/>
          </w:tcPr>
          <w:p w14:paraId="653B9CEB">
            <w:pPr>
              <w:keepNext w:val="0"/>
              <w:keepLines w:val="0"/>
              <w:pageBreakBefore w:val="0"/>
              <w:kinsoku/>
              <w:overflowPunct/>
              <w:topLinePunct w:val="0"/>
              <w:bidi w:val="0"/>
              <w:spacing w:beforeAutospacing="0" w:after="0" w:afterAutospacing="0" w:line="360" w:lineRule="auto"/>
              <w:jc w:val="center"/>
              <w:rPr>
                <w:rFonts w:ascii="宋体" w:hAnsi="宋体"/>
                <w:sz w:val="24"/>
              </w:rPr>
            </w:pPr>
            <w:r>
              <w:rPr>
                <w:rFonts w:hint="eastAsia" w:ascii="宋体" w:hAnsi="宋体"/>
                <w:sz w:val="24"/>
              </w:rPr>
              <w:t>7</w:t>
            </w:r>
          </w:p>
        </w:tc>
        <w:tc>
          <w:tcPr>
            <w:tcW w:w="4739" w:type="dxa"/>
            <w:vAlign w:val="center"/>
          </w:tcPr>
          <w:p w14:paraId="0468EAAA">
            <w:pPr>
              <w:keepNext w:val="0"/>
              <w:keepLines w:val="0"/>
              <w:pageBreakBefore w:val="0"/>
              <w:kinsoku/>
              <w:overflowPunct/>
              <w:topLinePunct w:val="0"/>
              <w:bidi w:val="0"/>
              <w:spacing w:beforeAutospacing="0" w:after="0" w:afterAutospacing="0" w:line="360" w:lineRule="auto"/>
              <w:rPr>
                <w:rFonts w:ascii="宋体" w:hAnsi="宋体"/>
                <w:sz w:val="24"/>
              </w:rPr>
            </w:pPr>
            <w:r>
              <w:rPr>
                <w:rFonts w:hint="eastAsia" w:ascii="宋体" w:hAnsi="宋体"/>
                <w:sz w:val="24"/>
              </w:rPr>
              <w:t>交货时间</w:t>
            </w:r>
          </w:p>
        </w:tc>
        <w:tc>
          <w:tcPr>
            <w:tcW w:w="1825" w:type="dxa"/>
          </w:tcPr>
          <w:p w14:paraId="163801A7">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96" w:type="dxa"/>
          </w:tcPr>
          <w:p w14:paraId="6BA31AE8">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6816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28" w:type="dxa"/>
            <w:vAlign w:val="center"/>
          </w:tcPr>
          <w:p w14:paraId="166BD794">
            <w:pPr>
              <w:keepNext w:val="0"/>
              <w:keepLines w:val="0"/>
              <w:pageBreakBefore w:val="0"/>
              <w:kinsoku/>
              <w:overflowPunct/>
              <w:topLinePunct w:val="0"/>
              <w:bidi w:val="0"/>
              <w:spacing w:beforeAutospacing="0" w:after="0" w:afterAutospacing="0" w:line="360" w:lineRule="auto"/>
              <w:jc w:val="center"/>
              <w:rPr>
                <w:rFonts w:ascii="宋体" w:hAnsi="宋体"/>
                <w:sz w:val="24"/>
                <w:szCs w:val="24"/>
              </w:rPr>
            </w:pPr>
            <w:r>
              <w:rPr>
                <w:rFonts w:hint="eastAsia" w:ascii="宋体" w:hAnsi="宋体"/>
                <w:sz w:val="24"/>
                <w:szCs w:val="24"/>
              </w:rPr>
              <w:t>8</w:t>
            </w:r>
          </w:p>
        </w:tc>
        <w:tc>
          <w:tcPr>
            <w:tcW w:w="4739" w:type="dxa"/>
            <w:vAlign w:val="center"/>
          </w:tcPr>
          <w:p w14:paraId="5D753C08">
            <w:pPr>
              <w:keepNext w:val="0"/>
              <w:keepLines w:val="0"/>
              <w:pageBreakBefore w:val="0"/>
              <w:kinsoku/>
              <w:overflowPunct/>
              <w:topLinePunct w:val="0"/>
              <w:bidi w:val="0"/>
              <w:spacing w:beforeAutospacing="0" w:after="0" w:afterAutospacing="0" w:line="360" w:lineRule="auto"/>
              <w:rPr>
                <w:rFonts w:ascii="宋体" w:hAnsi="宋体"/>
                <w:sz w:val="24"/>
                <w:szCs w:val="24"/>
              </w:rPr>
            </w:pPr>
            <w:r>
              <w:rPr>
                <w:rFonts w:hint="eastAsia" w:ascii="宋体" w:hAnsi="宋体" w:cs="宋体"/>
                <w:sz w:val="24"/>
                <w:szCs w:val="24"/>
              </w:rPr>
              <w:t>系统实施及响应</w:t>
            </w:r>
          </w:p>
        </w:tc>
        <w:tc>
          <w:tcPr>
            <w:tcW w:w="1825" w:type="dxa"/>
          </w:tcPr>
          <w:p w14:paraId="3CCFFAB0">
            <w:pPr>
              <w:keepNext w:val="0"/>
              <w:keepLines w:val="0"/>
              <w:pageBreakBefore w:val="0"/>
              <w:kinsoku/>
              <w:overflowPunct/>
              <w:topLinePunct w:val="0"/>
              <w:bidi w:val="0"/>
              <w:spacing w:beforeAutospacing="0" w:after="0" w:afterAutospacing="0" w:line="360" w:lineRule="auto"/>
              <w:rPr>
                <w:rFonts w:ascii="宋体" w:hAnsi="宋体"/>
                <w:sz w:val="24"/>
                <w:szCs w:val="24"/>
              </w:rPr>
            </w:pPr>
          </w:p>
        </w:tc>
        <w:tc>
          <w:tcPr>
            <w:tcW w:w="1896" w:type="dxa"/>
          </w:tcPr>
          <w:p w14:paraId="6EC70C30">
            <w:pPr>
              <w:keepNext w:val="0"/>
              <w:keepLines w:val="0"/>
              <w:pageBreakBefore w:val="0"/>
              <w:kinsoku/>
              <w:overflowPunct/>
              <w:topLinePunct w:val="0"/>
              <w:bidi w:val="0"/>
              <w:spacing w:beforeAutospacing="0" w:after="0" w:afterAutospacing="0" w:line="360" w:lineRule="auto"/>
              <w:rPr>
                <w:rFonts w:ascii="宋体" w:hAnsi="宋体"/>
                <w:sz w:val="24"/>
                <w:szCs w:val="24"/>
              </w:rPr>
            </w:pPr>
          </w:p>
        </w:tc>
      </w:tr>
    </w:tbl>
    <w:p w14:paraId="686130B1">
      <w:pPr>
        <w:keepNext w:val="0"/>
        <w:keepLines w:val="0"/>
        <w:pageBreakBefore w:val="0"/>
        <w:kinsoku/>
        <w:overflowPunct/>
        <w:topLinePunct w:val="0"/>
        <w:bidi w:val="0"/>
        <w:spacing w:beforeAutospacing="0" w:after="0" w:afterAutospacing="0" w:line="360" w:lineRule="auto"/>
        <w:ind w:firstLine="720" w:firstLineChars="300"/>
        <w:rPr>
          <w:color w:val="0D0D0D"/>
          <w:sz w:val="24"/>
        </w:rPr>
      </w:pPr>
    </w:p>
    <w:p w14:paraId="75066335">
      <w:pPr>
        <w:keepNext w:val="0"/>
        <w:keepLines w:val="0"/>
        <w:pageBreakBefore w:val="0"/>
        <w:kinsoku/>
        <w:overflowPunct/>
        <w:topLinePunct w:val="0"/>
        <w:bidi w:val="0"/>
        <w:spacing w:beforeAutospacing="0" w:after="0" w:afterAutospacing="0" w:line="360" w:lineRule="auto"/>
        <w:ind w:firstLine="720" w:firstLineChars="300"/>
        <w:rPr>
          <w:color w:val="0D0D0D"/>
          <w:sz w:val="24"/>
        </w:rPr>
      </w:pPr>
    </w:p>
    <w:p w14:paraId="03DB24C9">
      <w:pPr>
        <w:keepNext w:val="0"/>
        <w:keepLines w:val="0"/>
        <w:pageBreakBefore w:val="0"/>
        <w:kinsoku/>
        <w:overflowPunct/>
        <w:topLinePunct w:val="0"/>
        <w:bidi w:val="0"/>
        <w:spacing w:beforeAutospacing="0" w:after="0" w:afterAutospacing="0" w:line="360" w:lineRule="auto"/>
        <w:ind w:firstLine="3960" w:firstLineChars="1650"/>
        <w:rPr>
          <w:color w:val="0D0D0D"/>
          <w:sz w:val="24"/>
        </w:rPr>
      </w:pPr>
      <w:r>
        <w:rPr>
          <w:rFonts w:hint="eastAsia"/>
          <w:color w:val="0D0D0D"/>
          <w:sz w:val="24"/>
        </w:rPr>
        <w:t>投标方（公章）：</w:t>
      </w:r>
    </w:p>
    <w:p w14:paraId="2BF5CB0A">
      <w:pPr>
        <w:keepNext w:val="0"/>
        <w:keepLines w:val="0"/>
        <w:pageBreakBefore w:val="0"/>
        <w:kinsoku/>
        <w:overflowPunct/>
        <w:topLinePunct w:val="0"/>
        <w:bidi w:val="0"/>
        <w:spacing w:beforeAutospacing="0" w:after="0" w:afterAutospacing="0" w:line="360" w:lineRule="auto"/>
        <w:ind w:firstLine="720" w:firstLineChars="300"/>
        <w:jc w:val="center"/>
        <w:rPr>
          <w:color w:val="0D0D0D"/>
          <w:sz w:val="24"/>
        </w:rPr>
      </w:pPr>
      <w:r>
        <w:rPr>
          <w:rFonts w:hint="eastAsia"/>
          <w:color w:val="0D0D0D"/>
          <w:sz w:val="24"/>
        </w:rPr>
        <w:t>投标方授权代表签字：</w:t>
      </w:r>
    </w:p>
    <w:p w14:paraId="58CA071B">
      <w:pPr>
        <w:keepNext w:val="0"/>
        <w:keepLines w:val="0"/>
        <w:pageBreakBefore w:val="0"/>
        <w:kinsoku/>
        <w:overflowPunct/>
        <w:topLinePunct w:val="0"/>
        <w:bidi w:val="0"/>
        <w:spacing w:beforeAutospacing="0" w:after="0" w:afterAutospacing="0" w:line="360" w:lineRule="auto"/>
        <w:ind w:firstLine="4200" w:firstLineChars="1750"/>
        <w:rPr>
          <w:color w:val="0D0D0D"/>
          <w:sz w:val="24"/>
        </w:rPr>
      </w:pPr>
    </w:p>
    <w:p w14:paraId="382B1A7D">
      <w:pPr>
        <w:keepNext w:val="0"/>
        <w:keepLines w:val="0"/>
        <w:pageBreakBefore w:val="0"/>
        <w:kinsoku/>
        <w:overflowPunct/>
        <w:topLinePunct w:val="0"/>
        <w:bidi w:val="0"/>
        <w:spacing w:beforeAutospacing="0" w:after="0" w:afterAutospacing="0"/>
      </w:pPr>
    </w:p>
    <w:p w14:paraId="3C220E2A">
      <w:pPr>
        <w:pStyle w:val="2"/>
        <w:keepNext w:val="0"/>
        <w:keepLines w:val="0"/>
        <w:pageBreakBefore w:val="0"/>
        <w:kinsoku/>
        <w:overflowPunct/>
        <w:topLinePunct w:val="0"/>
        <w:bidi w:val="0"/>
        <w:spacing w:beforeLines="0" w:beforeAutospacing="0" w:after="0" w:afterAutospacing="0"/>
      </w:pPr>
    </w:p>
    <w:p w14:paraId="361BF0E2">
      <w:pPr>
        <w:keepNext w:val="0"/>
        <w:keepLines w:val="0"/>
        <w:pageBreakBefore w:val="0"/>
        <w:kinsoku/>
        <w:overflowPunct/>
        <w:topLinePunct w:val="0"/>
        <w:bidi w:val="0"/>
        <w:spacing w:beforeAutospacing="0" w:after="0" w:afterAutospacing="0"/>
      </w:pPr>
    </w:p>
    <w:p w14:paraId="584CD5AC">
      <w:pPr>
        <w:keepNext w:val="0"/>
        <w:keepLines w:val="0"/>
        <w:pageBreakBefore w:val="0"/>
        <w:kinsoku/>
        <w:overflowPunct/>
        <w:topLinePunct w:val="0"/>
        <w:bidi w:val="0"/>
        <w:spacing w:beforeAutospacing="0" w:after="0" w:afterAutospacing="0"/>
        <w:rPr>
          <w:rFonts w:ascii="宋体" w:hAnsi="宋体"/>
          <w:b/>
          <w:sz w:val="24"/>
        </w:rPr>
      </w:pPr>
      <w:bookmarkStart w:id="19" w:name="_Toc449173149"/>
      <w:r>
        <w:rPr>
          <w:rFonts w:hint="eastAsia" w:ascii="宋体" w:hAnsi="宋体"/>
          <w:b/>
          <w:sz w:val="24"/>
        </w:rPr>
        <w:br w:type="page"/>
      </w:r>
    </w:p>
    <w:p w14:paraId="0B4A27C3">
      <w:pPr>
        <w:keepNext w:val="0"/>
        <w:keepLines w:val="0"/>
        <w:pageBreakBefore w:val="0"/>
        <w:kinsoku/>
        <w:overflowPunct/>
        <w:topLinePunct w:val="0"/>
        <w:bidi w:val="0"/>
        <w:spacing w:beforeAutospacing="0" w:after="0" w:afterAutospacing="0" w:line="500" w:lineRule="exact"/>
        <w:jc w:val="left"/>
        <w:outlineLvl w:val="2"/>
        <w:rPr>
          <w:rFonts w:ascii="宋体" w:hAnsi="宋体"/>
          <w:b/>
          <w:sz w:val="24"/>
        </w:rPr>
      </w:pPr>
      <w:r>
        <w:rPr>
          <w:rFonts w:hint="eastAsia" w:ascii="宋体" w:hAnsi="宋体"/>
          <w:b/>
          <w:sz w:val="24"/>
        </w:rPr>
        <w:t>2.10技术响应表格式：</w:t>
      </w:r>
    </w:p>
    <w:p w14:paraId="47490101">
      <w:pPr>
        <w:keepNext w:val="0"/>
        <w:keepLines w:val="0"/>
        <w:pageBreakBefore w:val="0"/>
        <w:kinsoku/>
        <w:overflowPunct/>
        <w:topLinePunct w:val="0"/>
        <w:bidi w:val="0"/>
        <w:snapToGrid w:val="0"/>
        <w:spacing w:beforeAutospacing="0" w:after="0" w:afterAutospacing="0"/>
        <w:jc w:val="left"/>
        <w:rPr>
          <w:rFonts w:ascii="宋体" w:hAnsi="宋体"/>
          <w:b/>
          <w:sz w:val="24"/>
        </w:rPr>
      </w:pPr>
    </w:p>
    <w:tbl>
      <w:tblPr>
        <w:tblStyle w:val="49"/>
        <w:tblW w:w="8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1855"/>
        <w:gridCol w:w="1824"/>
        <w:gridCol w:w="1753"/>
        <w:gridCol w:w="2328"/>
      </w:tblGrid>
      <w:tr w14:paraId="29D1D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878" w:type="dxa"/>
            <w:tcBorders>
              <w:bottom w:val="single" w:color="auto" w:sz="4" w:space="0"/>
            </w:tcBorders>
            <w:vAlign w:val="center"/>
          </w:tcPr>
          <w:p w14:paraId="487E79E4">
            <w:pPr>
              <w:keepNext w:val="0"/>
              <w:keepLines w:val="0"/>
              <w:pageBreakBefore w:val="0"/>
              <w:kinsoku/>
              <w:overflowPunct/>
              <w:topLinePunct w:val="0"/>
              <w:bidi w:val="0"/>
              <w:spacing w:beforeAutospacing="0" w:after="0" w:afterAutospacing="0"/>
              <w:jc w:val="center"/>
              <w:rPr>
                <w:rFonts w:ascii="宋体" w:hAnsi="宋体"/>
                <w:sz w:val="24"/>
              </w:rPr>
            </w:pPr>
            <w:r>
              <w:rPr>
                <w:rFonts w:ascii="宋体" w:hAnsi="宋体"/>
                <w:sz w:val="24"/>
              </w:rPr>
              <w:t>序号</w:t>
            </w:r>
          </w:p>
        </w:tc>
        <w:tc>
          <w:tcPr>
            <w:tcW w:w="1855" w:type="dxa"/>
            <w:tcBorders>
              <w:bottom w:val="single" w:color="auto" w:sz="4" w:space="0"/>
            </w:tcBorders>
            <w:vAlign w:val="center"/>
          </w:tcPr>
          <w:p w14:paraId="06E12792">
            <w:pPr>
              <w:keepNext w:val="0"/>
              <w:keepLines w:val="0"/>
              <w:pageBreakBefore w:val="0"/>
              <w:kinsoku/>
              <w:overflowPunct/>
              <w:topLinePunct w:val="0"/>
              <w:bidi w:val="0"/>
              <w:spacing w:beforeAutospacing="0" w:after="0" w:afterAutospacing="0"/>
              <w:jc w:val="center"/>
              <w:rPr>
                <w:rFonts w:ascii="宋体" w:hAnsi="宋体"/>
                <w:sz w:val="24"/>
              </w:rPr>
            </w:pPr>
            <w:r>
              <w:rPr>
                <w:rFonts w:ascii="宋体" w:hAnsi="宋体"/>
                <w:sz w:val="24"/>
              </w:rPr>
              <w:t>内  容</w:t>
            </w:r>
          </w:p>
        </w:tc>
        <w:tc>
          <w:tcPr>
            <w:tcW w:w="1824" w:type="dxa"/>
            <w:tcBorders>
              <w:bottom w:val="single" w:color="auto" w:sz="4" w:space="0"/>
            </w:tcBorders>
            <w:vAlign w:val="center"/>
          </w:tcPr>
          <w:p w14:paraId="23B776B5">
            <w:pPr>
              <w:keepNext w:val="0"/>
              <w:keepLines w:val="0"/>
              <w:pageBreakBefore w:val="0"/>
              <w:kinsoku/>
              <w:overflowPunct/>
              <w:topLinePunct w:val="0"/>
              <w:bidi w:val="0"/>
              <w:spacing w:beforeAutospacing="0" w:after="0" w:afterAutospacing="0"/>
              <w:jc w:val="center"/>
              <w:rPr>
                <w:rFonts w:ascii="宋体" w:hAnsi="宋体"/>
                <w:sz w:val="24"/>
              </w:rPr>
            </w:pPr>
            <w:r>
              <w:rPr>
                <w:rFonts w:ascii="宋体" w:hAnsi="宋体"/>
                <w:sz w:val="24"/>
              </w:rPr>
              <w:t>招标文件要求</w:t>
            </w:r>
          </w:p>
        </w:tc>
        <w:tc>
          <w:tcPr>
            <w:tcW w:w="1753" w:type="dxa"/>
            <w:tcBorders>
              <w:bottom w:val="single" w:color="auto" w:sz="4" w:space="0"/>
            </w:tcBorders>
            <w:vAlign w:val="center"/>
          </w:tcPr>
          <w:p w14:paraId="5D8D1BAA">
            <w:pPr>
              <w:keepNext w:val="0"/>
              <w:keepLines w:val="0"/>
              <w:pageBreakBefore w:val="0"/>
              <w:kinsoku/>
              <w:overflowPunct/>
              <w:topLinePunct w:val="0"/>
              <w:bidi w:val="0"/>
              <w:spacing w:beforeAutospacing="0" w:after="0" w:afterAutospacing="0"/>
              <w:jc w:val="center"/>
              <w:rPr>
                <w:rFonts w:ascii="宋体" w:hAnsi="宋体"/>
                <w:sz w:val="24"/>
              </w:rPr>
            </w:pPr>
            <w:r>
              <w:rPr>
                <w:rFonts w:ascii="宋体" w:hAnsi="宋体"/>
                <w:sz w:val="24"/>
              </w:rPr>
              <w:t>投标文件</w:t>
            </w:r>
            <w:r>
              <w:rPr>
                <w:rFonts w:hint="eastAsia" w:ascii="宋体" w:hAnsi="宋体"/>
                <w:sz w:val="24"/>
              </w:rPr>
              <w:t>响应</w:t>
            </w:r>
          </w:p>
        </w:tc>
        <w:tc>
          <w:tcPr>
            <w:tcW w:w="2328" w:type="dxa"/>
            <w:tcBorders>
              <w:bottom w:val="single" w:color="auto" w:sz="4" w:space="0"/>
            </w:tcBorders>
            <w:vAlign w:val="center"/>
          </w:tcPr>
          <w:p w14:paraId="6070637F">
            <w:pPr>
              <w:keepNext w:val="0"/>
              <w:keepLines w:val="0"/>
              <w:pageBreakBefore w:val="0"/>
              <w:kinsoku/>
              <w:overflowPunct/>
              <w:topLinePunct w:val="0"/>
              <w:bidi w:val="0"/>
              <w:spacing w:beforeAutospacing="0" w:after="0" w:afterAutospacing="0"/>
              <w:jc w:val="center"/>
              <w:rPr>
                <w:rFonts w:ascii="宋体" w:hAnsi="宋体"/>
                <w:sz w:val="24"/>
              </w:rPr>
            </w:pPr>
            <w:r>
              <w:rPr>
                <w:rFonts w:hint="eastAsia" w:ascii="宋体" w:hAnsi="宋体"/>
                <w:sz w:val="24"/>
              </w:rPr>
              <w:t>偏离情况</w:t>
            </w:r>
          </w:p>
          <w:p w14:paraId="41280D61">
            <w:pPr>
              <w:keepNext w:val="0"/>
              <w:keepLines w:val="0"/>
              <w:pageBreakBefore w:val="0"/>
              <w:kinsoku/>
              <w:overflowPunct/>
              <w:topLinePunct w:val="0"/>
              <w:bidi w:val="0"/>
              <w:spacing w:beforeAutospacing="0" w:after="0" w:afterAutospacing="0"/>
              <w:jc w:val="center"/>
              <w:rPr>
                <w:rFonts w:ascii="宋体" w:hAnsi="宋体"/>
                <w:sz w:val="24"/>
              </w:rPr>
            </w:pPr>
            <w:r>
              <w:rPr>
                <w:rFonts w:hint="eastAsia" w:ascii="宋体" w:hAnsi="宋体"/>
                <w:sz w:val="24"/>
              </w:rPr>
              <w:t>（注明正偏离、负偏离或无偏离）</w:t>
            </w:r>
          </w:p>
        </w:tc>
      </w:tr>
      <w:tr w14:paraId="03F5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486480F8">
            <w:pPr>
              <w:keepNext w:val="0"/>
              <w:keepLines w:val="0"/>
              <w:pageBreakBefore w:val="0"/>
              <w:kinsoku/>
              <w:overflowPunct/>
              <w:topLinePunct w:val="0"/>
              <w:bidi w:val="0"/>
              <w:spacing w:beforeAutospacing="0" w:after="0" w:afterAutospacing="0" w:line="360" w:lineRule="auto"/>
              <w:jc w:val="center"/>
              <w:rPr>
                <w:rFonts w:ascii="宋体" w:hAnsi="宋体"/>
                <w:sz w:val="24"/>
              </w:rPr>
            </w:pPr>
          </w:p>
        </w:tc>
        <w:tc>
          <w:tcPr>
            <w:tcW w:w="1855" w:type="dxa"/>
          </w:tcPr>
          <w:p w14:paraId="00A87596">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6C2EF118">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17862ADF">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55B1924F">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13ED1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2303192F">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4DB8B6AF">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3FB05A23">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69449621">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5C8A65FA">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7AB7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75B9B5FF">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46595FBD">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0604E4F3">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3031CA8B">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22495556">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01B39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 w:hRule="atLeast"/>
          <w:jc w:val="center"/>
        </w:trPr>
        <w:tc>
          <w:tcPr>
            <w:tcW w:w="878" w:type="dxa"/>
          </w:tcPr>
          <w:p w14:paraId="077F4CF7">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415ACF21">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6392880C">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5F654EF8">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3FD79B25">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471C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7E3F8ADE">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3319F19A">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2BCC62E6">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53E0F2AC">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2D991F1A">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3A83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3F19A1EC">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39481667">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3EBB9322">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73E9E832">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3DBCE0B1">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450A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5B4463E8">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42BE4F53">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72644878">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5E057373">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3F2EE7AD">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5FEF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0D01D21E">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3F71FA22">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359FC481">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2E30F844">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39E6CE07">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647F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5B3BF176">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16B37FFE">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79648F8B">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501DD3CE">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4555EF6D">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6BDA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47448417">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2C6AA030">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38DF281D">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4EDC8D64">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18492629">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2F8F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7EC1EB2F">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67480F49">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6EF7EDBB">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1D5F642F">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252D7B71">
            <w:pPr>
              <w:keepNext w:val="0"/>
              <w:keepLines w:val="0"/>
              <w:pageBreakBefore w:val="0"/>
              <w:kinsoku/>
              <w:overflowPunct/>
              <w:topLinePunct w:val="0"/>
              <w:bidi w:val="0"/>
              <w:spacing w:beforeAutospacing="0" w:after="0" w:afterAutospacing="0" w:line="360" w:lineRule="auto"/>
              <w:rPr>
                <w:rFonts w:ascii="宋体" w:hAnsi="宋体"/>
                <w:sz w:val="24"/>
              </w:rPr>
            </w:pPr>
          </w:p>
        </w:tc>
      </w:tr>
      <w:tr w14:paraId="350C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78" w:type="dxa"/>
          </w:tcPr>
          <w:p w14:paraId="2EFBB565">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55" w:type="dxa"/>
          </w:tcPr>
          <w:p w14:paraId="0E9CED25">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824" w:type="dxa"/>
          </w:tcPr>
          <w:p w14:paraId="4E45EE9E">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1753" w:type="dxa"/>
          </w:tcPr>
          <w:p w14:paraId="1544FBCA">
            <w:pPr>
              <w:keepNext w:val="0"/>
              <w:keepLines w:val="0"/>
              <w:pageBreakBefore w:val="0"/>
              <w:kinsoku/>
              <w:overflowPunct/>
              <w:topLinePunct w:val="0"/>
              <w:bidi w:val="0"/>
              <w:spacing w:beforeAutospacing="0" w:after="0" w:afterAutospacing="0" w:line="360" w:lineRule="auto"/>
              <w:rPr>
                <w:rFonts w:ascii="宋体" w:hAnsi="宋体"/>
                <w:sz w:val="24"/>
              </w:rPr>
            </w:pPr>
          </w:p>
        </w:tc>
        <w:tc>
          <w:tcPr>
            <w:tcW w:w="2328" w:type="dxa"/>
          </w:tcPr>
          <w:p w14:paraId="5371BD88">
            <w:pPr>
              <w:keepNext w:val="0"/>
              <w:keepLines w:val="0"/>
              <w:pageBreakBefore w:val="0"/>
              <w:kinsoku/>
              <w:overflowPunct/>
              <w:topLinePunct w:val="0"/>
              <w:bidi w:val="0"/>
              <w:spacing w:beforeAutospacing="0" w:after="0" w:afterAutospacing="0" w:line="360" w:lineRule="auto"/>
              <w:rPr>
                <w:rFonts w:ascii="宋体" w:hAnsi="宋体"/>
                <w:sz w:val="24"/>
              </w:rPr>
            </w:pPr>
          </w:p>
        </w:tc>
      </w:tr>
    </w:tbl>
    <w:p w14:paraId="26797B22">
      <w:pPr>
        <w:pStyle w:val="24"/>
        <w:keepNext w:val="0"/>
        <w:keepLines w:val="0"/>
        <w:pageBreakBefore w:val="0"/>
        <w:kinsoku/>
        <w:overflowPunct/>
        <w:topLinePunct w:val="0"/>
        <w:bidi w:val="0"/>
        <w:spacing w:before="0" w:beforeAutospacing="0" w:after="0" w:afterAutospacing="0"/>
        <w:rPr>
          <w:rFonts w:ascii="宋体"/>
          <w:sz w:val="24"/>
        </w:rPr>
      </w:pPr>
    </w:p>
    <w:p w14:paraId="362AD02D">
      <w:pPr>
        <w:pStyle w:val="24"/>
        <w:keepNext w:val="0"/>
        <w:keepLines w:val="0"/>
        <w:pageBreakBefore w:val="0"/>
        <w:kinsoku/>
        <w:overflowPunct/>
        <w:topLinePunct w:val="0"/>
        <w:bidi w:val="0"/>
        <w:spacing w:before="0" w:beforeAutospacing="0" w:after="0" w:afterAutospacing="0" w:line="360" w:lineRule="auto"/>
        <w:rPr>
          <w:rFonts w:ascii="宋体"/>
          <w:b/>
          <w:spacing w:val="20"/>
          <w:sz w:val="24"/>
        </w:rPr>
      </w:pPr>
      <w:r>
        <w:rPr>
          <w:rFonts w:hint="eastAsia" w:ascii="宋体"/>
          <w:b/>
          <w:sz w:val="24"/>
        </w:rPr>
        <w:t>注：投标人应根据投标货物的性能指标、对照招标文件要求在“偏离情况”栏注明“正偏离”、“负偏离”或“无偏离”。</w:t>
      </w:r>
    </w:p>
    <w:p w14:paraId="55460688">
      <w:pPr>
        <w:keepNext w:val="0"/>
        <w:keepLines w:val="0"/>
        <w:pageBreakBefore w:val="0"/>
        <w:kinsoku/>
        <w:overflowPunct/>
        <w:topLinePunct w:val="0"/>
        <w:bidi w:val="0"/>
        <w:snapToGrid w:val="0"/>
        <w:spacing w:beforeAutospacing="0" w:after="0" w:afterAutospacing="0" w:line="360" w:lineRule="auto"/>
        <w:rPr>
          <w:rFonts w:ascii="宋体" w:hAnsi="宋体"/>
          <w:spacing w:val="20"/>
          <w:sz w:val="24"/>
        </w:rPr>
      </w:pPr>
    </w:p>
    <w:p w14:paraId="6EF8B9A0">
      <w:pPr>
        <w:keepNext w:val="0"/>
        <w:keepLines w:val="0"/>
        <w:pageBreakBefore w:val="0"/>
        <w:kinsoku/>
        <w:overflowPunct/>
        <w:topLinePunct w:val="0"/>
        <w:bidi w:val="0"/>
        <w:snapToGrid w:val="0"/>
        <w:spacing w:beforeAutospacing="0" w:after="0" w:afterAutospacing="0" w:line="360" w:lineRule="auto"/>
        <w:rPr>
          <w:rFonts w:ascii="宋体" w:hAnsi="宋体"/>
          <w:spacing w:val="20"/>
          <w:sz w:val="24"/>
          <w:u w:val="single"/>
        </w:rPr>
      </w:pPr>
      <w:r>
        <w:rPr>
          <w:rFonts w:hint="eastAsia" w:ascii="宋体" w:hAnsi="宋体"/>
          <w:sz w:val="24"/>
        </w:rPr>
        <w:t>法定代表人或授权代表签字</w:t>
      </w:r>
      <w:r>
        <w:rPr>
          <w:rFonts w:hint="eastAsia" w:ascii="宋体" w:hAnsi="宋体"/>
          <w:spacing w:val="20"/>
          <w:sz w:val="24"/>
        </w:rPr>
        <w:t>：</w:t>
      </w:r>
    </w:p>
    <w:p w14:paraId="1BE17449">
      <w:pPr>
        <w:keepNext w:val="0"/>
        <w:keepLines w:val="0"/>
        <w:pageBreakBefore w:val="0"/>
        <w:kinsoku/>
        <w:overflowPunct/>
        <w:topLinePunct w:val="0"/>
        <w:bidi w:val="0"/>
        <w:snapToGrid w:val="0"/>
        <w:spacing w:beforeAutospacing="0" w:after="0" w:afterAutospacing="0" w:line="360" w:lineRule="auto"/>
        <w:rPr>
          <w:rFonts w:ascii="宋体" w:hAnsi="宋体"/>
          <w:sz w:val="24"/>
        </w:rPr>
      </w:pPr>
      <w:r>
        <w:rPr>
          <w:rFonts w:hint="eastAsia" w:ascii="宋体" w:hAnsi="宋体"/>
          <w:spacing w:val="20"/>
          <w:sz w:val="24"/>
        </w:rPr>
        <w:t>投标人盖章：日 期：</w:t>
      </w:r>
    </w:p>
    <w:bookmarkEnd w:id="19"/>
    <w:p w14:paraId="2145B14B">
      <w:pPr>
        <w:keepNext w:val="0"/>
        <w:keepLines w:val="0"/>
        <w:pageBreakBefore w:val="0"/>
        <w:kinsoku/>
        <w:overflowPunct/>
        <w:topLinePunct w:val="0"/>
        <w:bidi w:val="0"/>
        <w:spacing w:beforeAutospacing="0" w:after="0" w:afterAutospacing="0"/>
      </w:pPr>
    </w:p>
    <w:p w14:paraId="6B235EB9">
      <w:pPr>
        <w:keepNext w:val="0"/>
        <w:keepLines w:val="0"/>
        <w:pageBreakBefore w:val="0"/>
        <w:kinsoku/>
        <w:overflowPunct/>
        <w:topLinePunct w:val="0"/>
        <w:bidi w:val="0"/>
        <w:spacing w:beforeAutospacing="0" w:after="0" w:afterAutospacing="0"/>
      </w:pPr>
    </w:p>
    <w:p w14:paraId="684DE25D">
      <w:pPr>
        <w:keepNext w:val="0"/>
        <w:keepLines w:val="0"/>
        <w:pageBreakBefore w:val="0"/>
        <w:kinsoku/>
        <w:overflowPunct/>
        <w:topLinePunct w:val="0"/>
        <w:bidi w:val="0"/>
        <w:spacing w:beforeAutospacing="0" w:after="0" w:afterAutospacing="0"/>
      </w:pPr>
    </w:p>
    <w:p w14:paraId="3BEA79DB">
      <w:pPr>
        <w:keepNext w:val="0"/>
        <w:keepLines w:val="0"/>
        <w:pageBreakBefore w:val="0"/>
        <w:kinsoku/>
        <w:overflowPunct/>
        <w:topLinePunct w:val="0"/>
        <w:bidi w:val="0"/>
        <w:spacing w:beforeAutospacing="0" w:after="0" w:afterAutospacing="0"/>
      </w:pPr>
    </w:p>
    <w:p w14:paraId="45C8DD57">
      <w:pPr>
        <w:keepNext w:val="0"/>
        <w:keepLines w:val="0"/>
        <w:pageBreakBefore w:val="0"/>
        <w:kinsoku/>
        <w:overflowPunct/>
        <w:topLinePunct w:val="0"/>
        <w:bidi w:val="0"/>
        <w:spacing w:beforeAutospacing="0" w:after="0" w:afterAutospacing="0"/>
      </w:pPr>
    </w:p>
    <w:p w14:paraId="70DFDA8D">
      <w:pPr>
        <w:pStyle w:val="21"/>
        <w:keepNext w:val="0"/>
        <w:keepLines w:val="0"/>
        <w:pageBreakBefore w:val="0"/>
        <w:kinsoku/>
        <w:overflowPunct/>
        <w:topLinePunct w:val="0"/>
        <w:bidi w:val="0"/>
        <w:spacing w:before="0" w:beforeAutospacing="0" w:after="0" w:afterAutospacing="0"/>
      </w:pPr>
    </w:p>
    <w:p w14:paraId="76E7FDA3">
      <w:pPr>
        <w:keepNext w:val="0"/>
        <w:keepLines w:val="0"/>
        <w:pageBreakBefore w:val="0"/>
        <w:kinsoku/>
        <w:overflowPunct/>
        <w:topLinePunct w:val="0"/>
        <w:bidi w:val="0"/>
        <w:spacing w:beforeAutospacing="0" w:after="0" w:afterAutospacing="0"/>
      </w:pPr>
    </w:p>
    <w:p w14:paraId="528ED760">
      <w:pPr>
        <w:pStyle w:val="21"/>
        <w:keepNext w:val="0"/>
        <w:keepLines w:val="0"/>
        <w:pageBreakBefore w:val="0"/>
        <w:kinsoku/>
        <w:overflowPunct/>
        <w:topLinePunct w:val="0"/>
        <w:bidi w:val="0"/>
        <w:spacing w:before="0" w:beforeAutospacing="0" w:after="0" w:afterAutospacing="0"/>
      </w:pPr>
    </w:p>
    <w:p w14:paraId="2D11BC92">
      <w:pPr>
        <w:keepNext w:val="0"/>
        <w:keepLines w:val="0"/>
        <w:pageBreakBefore w:val="0"/>
        <w:kinsoku/>
        <w:overflowPunct/>
        <w:topLinePunct w:val="0"/>
        <w:bidi w:val="0"/>
        <w:spacing w:beforeAutospacing="0" w:after="0" w:afterAutospacing="0"/>
      </w:pPr>
    </w:p>
    <w:p w14:paraId="0DA17129">
      <w:pPr>
        <w:keepNext w:val="0"/>
        <w:keepLines w:val="0"/>
        <w:pageBreakBefore w:val="0"/>
        <w:kinsoku/>
        <w:overflowPunct/>
        <w:topLinePunct w:val="0"/>
        <w:bidi w:val="0"/>
        <w:spacing w:beforeAutospacing="0" w:after="0" w:afterAutospacing="0" w:line="500" w:lineRule="exact"/>
        <w:jc w:val="left"/>
        <w:outlineLvl w:val="2"/>
        <w:rPr>
          <w:rFonts w:ascii="宋体" w:cs="宋体"/>
          <w:b/>
          <w:bCs/>
          <w:sz w:val="24"/>
        </w:rPr>
      </w:pPr>
      <w:r>
        <w:rPr>
          <w:rFonts w:hint="eastAsia" w:ascii="宋体" w:hAnsi="宋体"/>
          <w:b/>
          <w:sz w:val="24"/>
        </w:rPr>
        <w:t>2</w:t>
      </w:r>
      <w:r>
        <w:rPr>
          <w:rFonts w:ascii="宋体" w:hAnsi="宋体"/>
          <w:b/>
          <w:sz w:val="24"/>
        </w:rPr>
        <w:t>.</w:t>
      </w:r>
      <w:bookmarkStart w:id="20" w:name="_Toc449173150"/>
      <w:r>
        <w:rPr>
          <w:rFonts w:hint="eastAsia" w:ascii="宋体" w:hAnsi="宋体"/>
          <w:b/>
          <w:sz w:val="24"/>
        </w:rPr>
        <w:t>11</w:t>
      </w:r>
      <w:r>
        <w:rPr>
          <w:rFonts w:hint="eastAsia" w:ascii="宋体" w:hAnsi="宋体" w:cs="宋体"/>
          <w:b/>
          <w:bCs/>
          <w:sz w:val="24"/>
        </w:rPr>
        <w:t>本项目拟派人员一览表</w:t>
      </w:r>
    </w:p>
    <w:p w14:paraId="3479DFAE">
      <w:pPr>
        <w:keepNext w:val="0"/>
        <w:keepLines w:val="0"/>
        <w:pageBreakBefore w:val="0"/>
        <w:kinsoku/>
        <w:overflowPunct/>
        <w:topLinePunct w:val="0"/>
        <w:bidi w:val="0"/>
        <w:spacing w:beforeAutospacing="0" w:after="0" w:afterAutospacing="0" w:line="500" w:lineRule="exact"/>
        <w:rPr>
          <w:rFonts w:ascii="宋体" w:cs="宋体"/>
          <w:b/>
          <w:bCs/>
          <w:sz w:val="24"/>
        </w:rPr>
      </w:pPr>
    </w:p>
    <w:tbl>
      <w:tblPr>
        <w:tblStyle w:val="49"/>
        <w:tblW w:w="9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047"/>
        <w:gridCol w:w="1035"/>
        <w:gridCol w:w="1185"/>
        <w:gridCol w:w="1260"/>
        <w:gridCol w:w="1410"/>
        <w:gridCol w:w="1125"/>
        <w:gridCol w:w="1357"/>
      </w:tblGrid>
      <w:tr w14:paraId="1770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0" w:hRule="atLeast"/>
        </w:trPr>
        <w:tc>
          <w:tcPr>
            <w:tcW w:w="1071" w:type="dxa"/>
            <w:vAlign w:val="center"/>
          </w:tcPr>
          <w:p w14:paraId="725A8236">
            <w:pPr>
              <w:keepNext w:val="0"/>
              <w:keepLines w:val="0"/>
              <w:pageBreakBefore w:val="0"/>
              <w:kinsoku/>
              <w:overflowPunct/>
              <w:topLinePunct w:val="0"/>
              <w:bidi w:val="0"/>
              <w:snapToGrid w:val="0"/>
              <w:spacing w:beforeAutospacing="0" w:after="0" w:afterAutospacing="0" w:line="500" w:lineRule="exact"/>
              <w:jc w:val="center"/>
              <w:rPr>
                <w:rFonts w:ascii="宋体" w:cs="宋体"/>
                <w:sz w:val="24"/>
              </w:rPr>
            </w:pPr>
            <w:r>
              <w:rPr>
                <w:rFonts w:hint="eastAsia" w:ascii="宋体" w:hAnsi="宋体" w:cs="宋体"/>
                <w:sz w:val="24"/>
              </w:rPr>
              <w:t>姓名</w:t>
            </w:r>
          </w:p>
        </w:tc>
        <w:tc>
          <w:tcPr>
            <w:tcW w:w="1047" w:type="dxa"/>
            <w:vAlign w:val="center"/>
          </w:tcPr>
          <w:p w14:paraId="767E5CE0">
            <w:pPr>
              <w:keepNext w:val="0"/>
              <w:keepLines w:val="0"/>
              <w:pageBreakBefore w:val="0"/>
              <w:kinsoku/>
              <w:overflowPunct/>
              <w:topLinePunct w:val="0"/>
              <w:bidi w:val="0"/>
              <w:snapToGrid w:val="0"/>
              <w:spacing w:beforeAutospacing="0" w:after="0" w:afterAutospacing="0" w:line="500" w:lineRule="exact"/>
              <w:jc w:val="center"/>
              <w:rPr>
                <w:rFonts w:ascii="宋体" w:cs="宋体"/>
                <w:sz w:val="24"/>
              </w:rPr>
            </w:pPr>
            <w:r>
              <w:rPr>
                <w:rFonts w:hint="eastAsia" w:ascii="宋体" w:hAnsi="宋体" w:cs="宋体"/>
                <w:sz w:val="24"/>
              </w:rPr>
              <w:t>性别</w:t>
            </w:r>
          </w:p>
        </w:tc>
        <w:tc>
          <w:tcPr>
            <w:tcW w:w="1035" w:type="dxa"/>
            <w:vAlign w:val="center"/>
          </w:tcPr>
          <w:p w14:paraId="2C5B820D">
            <w:pPr>
              <w:keepNext w:val="0"/>
              <w:keepLines w:val="0"/>
              <w:pageBreakBefore w:val="0"/>
              <w:kinsoku/>
              <w:overflowPunct/>
              <w:topLinePunct w:val="0"/>
              <w:bidi w:val="0"/>
              <w:snapToGrid w:val="0"/>
              <w:spacing w:beforeAutospacing="0" w:after="0" w:afterAutospacing="0" w:line="500" w:lineRule="exact"/>
              <w:jc w:val="center"/>
              <w:rPr>
                <w:rFonts w:ascii="宋体" w:cs="宋体"/>
                <w:sz w:val="24"/>
              </w:rPr>
            </w:pPr>
            <w:r>
              <w:rPr>
                <w:rFonts w:hint="eastAsia" w:ascii="宋体" w:hAnsi="宋体" w:cs="宋体"/>
                <w:sz w:val="24"/>
              </w:rPr>
              <w:t>年龄</w:t>
            </w:r>
          </w:p>
        </w:tc>
        <w:tc>
          <w:tcPr>
            <w:tcW w:w="1185" w:type="dxa"/>
            <w:vAlign w:val="center"/>
          </w:tcPr>
          <w:p w14:paraId="0CAF0C8E">
            <w:pPr>
              <w:keepNext w:val="0"/>
              <w:keepLines w:val="0"/>
              <w:pageBreakBefore w:val="0"/>
              <w:kinsoku/>
              <w:overflowPunct/>
              <w:topLinePunct w:val="0"/>
              <w:bidi w:val="0"/>
              <w:snapToGrid w:val="0"/>
              <w:spacing w:beforeAutospacing="0" w:after="0" w:afterAutospacing="0" w:line="500" w:lineRule="exact"/>
              <w:jc w:val="center"/>
              <w:rPr>
                <w:rFonts w:ascii="宋体" w:cs="宋体"/>
                <w:sz w:val="24"/>
              </w:rPr>
            </w:pPr>
            <w:r>
              <w:rPr>
                <w:rFonts w:hint="eastAsia" w:ascii="宋体" w:hAnsi="宋体" w:cs="宋体"/>
                <w:sz w:val="24"/>
              </w:rPr>
              <w:t>文化</w:t>
            </w:r>
          </w:p>
          <w:p w14:paraId="422FB401">
            <w:pPr>
              <w:keepNext w:val="0"/>
              <w:keepLines w:val="0"/>
              <w:pageBreakBefore w:val="0"/>
              <w:kinsoku/>
              <w:overflowPunct/>
              <w:topLinePunct w:val="0"/>
              <w:bidi w:val="0"/>
              <w:snapToGrid w:val="0"/>
              <w:spacing w:beforeAutospacing="0" w:after="0" w:afterAutospacing="0" w:line="500" w:lineRule="exact"/>
              <w:jc w:val="center"/>
              <w:rPr>
                <w:rFonts w:ascii="宋体" w:cs="宋体"/>
                <w:sz w:val="24"/>
              </w:rPr>
            </w:pPr>
            <w:r>
              <w:rPr>
                <w:rFonts w:hint="eastAsia" w:ascii="宋体" w:hAnsi="宋体" w:cs="宋体"/>
                <w:sz w:val="24"/>
              </w:rPr>
              <w:t>程度</w:t>
            </w:r>
          </w:p>
        </w:tc>
        <w:tc>
          <w:tcPr>
            <w:tcW w:w="1260" w:type="dxa"/>
            <w:vAlign w:val="center"/>
          </w:tcPr>
          <w:p w14:paraId="23264895">
            <w:pPr>
              <w:keepNext w:val="0"/>
              <w:keepLines w:val="0"/>
              <w:pageBreakBefore w:val="0"/>
              <w:kinsoku/>
              <w:overflowPunct/>
              <w:topLinePunct w:val="0"/>
              <w:bidi w:val="0"/>
              <w:snapToGrid w:val="0"/>
              <w:spacing w:beforeAutospacing="0" w:after="0" w:afterAutospacing="0" w:line="500" w:lineRule="exact"/>
              <w:jc w:val="center"/>
              <w:rPr>
                <w:rFonts w:ascii="宋体" w:cs="宋体"/>
                <w:sz w:val="24"/>
              </w:rPr>
            </w:pPr>
            <w:r>
              <w:rPr>
                <w:rFonts w:hint="eastAsia" w:ascii="宋体" w:hAnsi="宋体" w:cs="宋体"/>
                <w:sz w:val="24"/>
              </w:rPr>
              <w:t>从事</w:t>
            </w:r>
          </w:p>
          <w:p w14:paraId="189D503D">
            <w:pPr>
              <w:keepNext w:val="0"/>
              <w:keepLines w:val="0"/>
              <w:pageBreakBefore w:val="0"/>
              <w:kinsoku/>
              <w:overflowPunct/>
              <w:topLinePunct w:val="0"/>
              <w:bidi w:val="0"/>
              <w:snapToGrid w:val="0"/>
              <w:spacing w:beforeAutospacing="0" w:after="0" w:afterAutospacing="0" w:line="500" w:lineRule="exact"/>
              <w:jc w:val="center"/>
              <w:rPr>
                <w:rFonts w:ascii="宋体" w:cs="宋体"/>
                <w:sz w:val="24"/>
              </w:rPr>
            </w:pPr>
            <w:r>
              <w:rPr>
                <w:rFonts w:hint="eastAsia" w:ascii="宋体" w:hAnsi="宋体" w:cs="宋体"/>
                <w:sz w:val="24"/>
              </w:rPr>
              <w:t>专业</w:t>
            </w:r>
          </w:p>
        </w:tc>
        <w:tc>
          <w:tcPr>
            <w:tcW w:w="1410" w:type="dxa"/>
            <w:vAlign w:val="center"/>
          </w:tcPr>
          <w:p w14:paraId="19EB252A">
            <w:pPr>
              <w:keepNext w:val="0"/>
              <w:keepLines w:val="0"/>
              <w:pageBreakBefore w:val="0"/>
              <w:kinsoku/>
              <w:overflowPunct/>
              <w:topLinePunct w:val="0"/>
              <w:bidi w:val="0"/>
              <w:snapToGrid w:val="0"/>
              <w:spacing w:beforeAutospacing="0" w:after="0" w:afterAutospacing="0" w:line="500" w:lineRule="exact"/>
              <w:jc w:val="center"/>
              <w:rPr>
                <w:rFonts w:ascii="宋体" w:cs="宋体"/>
                <w:sz w:val="24"/>
              </w:rPr>
            </w:pPr>
            <w:r>
              <w:rPr>
                <w:rFonts w:hint="eastAsia" w:ascii="宋体" w:hAnsi="宋体" w:cs="宋体"/>
                <w:sz w:val="24"/>
              </w:rPr>
              <w:t>从事专业工作时间</w:t>
            </w:r>
          </w:p>
        </w:tc>
        <w:tc>
          <w:tcPr>
            <w:tcW w:w="1125" w:type="dxa"/>
            <w:vAlign w:val="center"/>
          </w:tcPr>
          <w:p w14:paraId="15BB5D40">
            <w:pPr>
              <w:keepNext w:val="0"/>
              <w:keepLines w:val="0"/>
              <w:pageBreakBefore w:val="0"/>
              <w:kinsoku/>
              <w:overflowPunct/>
              <w:topLinePunct w:val="0"/>
              <w:bidi w:val="0"/>
              <w:snapToGrid w:val="0"/>
              <w:spacing w:beforeAutospacing="0" w:after="0" w:afterAutospacing="0" w:line="500" w:lineRule="exact"/>
              <w:ind w:left="-107" w:leftChars="-51" w:firstLine="91" w:firstLineChars="38"/>
              <w:jc w:val="center"/>
              <w:rPr>
                <w:rFonts w:ascii="宋体" w:cs="宋体"/>
                <w:sz w:val="24"/>
              </w:rPr>
            </w:pPr>
            <w:r>
              <w:rPr>
                <w:rFonts w:hint="eastAsia" w:ascii="宋体" w:hAnsi="宋体" w:cs="宋体"/>
                <w:sz w:val="24"/>
              </w:rPr>
              <w:t>职称</w:t>
            </w:r>
          </w:p>
        </w:tc>
        <w:tc>
          <w:tcPr>
            <w:tcW w:w="1357" w:type="dxa"/>
            <w:vAlign w:val="center"/>
          </w:tcPr>
          <w:p w14:paraId="7701E054">
            <w:pPr>
              <w:keepNext w:val="0"/>
              <w:keepLines w:val="0"/>
              <w:pageBreakBefore w:val="0"/>
              <w:kinsoku/>
              <w:overflowPunct/>
              <w:topLinePunct w:val="0"/>
              <w:bidi w:val="0"/>
              <w:snapToGrid w:val="0"/>
              <w:spacing w:beforeAutospacing="0" w:after="0" w:afterAutospacing="0" w:line="500" w:lineRule="exact"/>
              <w:jc w:val="center"/>
              <w:rPr>
                <w:rFonts w:ascii="宋体" w:cs="宋体"/>
                <w:sz w:val="24"/>
              </w:rPr>
            </w:pPr>
            <w:r>
              <w:rPr>
                <w:rFonts w:hint="eastAsia" w:ascii="宋体" w:hAnsi="宋体" w:cs="宋体"/>
                <w:sz w:val="24"/>
              </w:rPr>
              <w:t>拟派岗位</w:t>
            </w:r>
          </w:p>
        </w:tc>
      </w:tr>
      <w:tr w14:paraId="6740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71" w:type="dxa"/>
          </w:tcPr>
          <w:p w14:paraId="5D5FEFA5">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47" w:type="dxa"/>
          </w:tcPr>
          <w:p w14:paraId="121E1C0A">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35" w:type="dxa"/>
          </w:tcPr>
          <w:p w14:paraId="2A09D0F3">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85" w:type="dxa"/>
          </w:tcPr>
          <w:p w14:paraId="25636F29">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260" w:type="dxa"/>
          </w:tcPr>
          <w:p w14:paraId="2AF504A0">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410" w:type="dxa"/>
          </w:tcPr>
          <w:p w14:paraId="2B1C8C5C">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25" w:type="dxa"/>
          </w:tcPr>
          <w:p w14:paraId="29E02669">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357" w:type="dxa"/>
          </w:tcPr>
          <w:p w14:paraId="0CC98947">
            <w:pPr>
              <w:keepNext w:val="0"/>
              <w:keepLines w:val="0"/>
              <w:pageBreakBefore w:val="0"/>
              <w:kinsoku/>
              <w:overflowPunct/>
              <w:topLinePunct w:val="0"/>
              <w:bidi w:val="0"/>
              <w:spacing w:beforeAutospacing="0" w:after="0" w:afterAutospacing="0" w:line="500" w:lineRule="exact"/>
              <w:jc w:val="left"/>
              <w:rPr>
                <w:rFonts w:ascii="宋体" w:cs="宋体"/>
                <w:sz w:val="24"/>
              </w:rPr>
            </w:pPr>
          </w:p>
        </w:tc>
      </w:tr>
      <w:tr w14:paraId="1DE7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71" w:type="dxa"/>
          </w:tcPr>
          <w:p w14:paraId="0B6955AD">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47" w:type="dxa"/>
          </w:tcPr>
          <w:p w14:paraId="5B0FFFE4">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35" w:type="dxa"/>
          </w:tcPr>
          <w:p w14:paraId="48535FBB">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85" w:type="dxa"/>
          </w:tcPr>
          <w:p w14:paraId="16D9062D">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260" w:type="dxa"/>
          </w:tcPr>
          <w:p w14:paraId="17DC8407">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410" w:type="dxa"/>
          </w:tcPr>
          <w:p w14:paraId="4E6EE0BF">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25" w:type="dxa"/>
          </w:tcPr>
          <w:p w14:paraId="15A0BE34">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357" w:type="dxa"/>
          </w:tcPr>
          <w:p w14:paraId="3537A670">
            <w:pPr>
              <w:keepNext w:val="0"/>
              <w:keepLines w:val="0"/>
              <w:pageBreakBefore w:val="0"/>
              <w:kinsoku/>
              <w:overflowPunct/>
              <w:topLinePunct w:val="0"/>
              <w:bidi w:val="0"/>
              <w:spacing w:beforeAutospacing="0" w:after="0" w:afterAutospacing="0" w:line="500" w:lineRule="exact"/>
              <w:jc w:val="left"/>
              <w:rPr>
                <w:rFonts w:ascii="宋体" w:cs="宋体"/>
                <w:sz w:val="24"/>
              </w:rPr>
            </w:pPr>
          </w:p>
        </w:tc>
      </w:tr>
      <w:tr w14:paraId="56EB1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71" w:type="dxa"/>
          </w:tcPr>
          <w:p w14:paraId="551397DE">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47" w:type="dxa"/>
          </w:tcPr>
          <w:p w14:paraId="2150F2DD">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35" w:type="dxa"/>
          </w:tcPr>
          <w:p w14:paraId="1F314652">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85" w:type="dxa"/>
          </w:tcPr>
          <w:p w14:paraId="450E0798">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260" w:type="dxa"/>
          </w:tcPr>
          <w:p w14:paraId="487A577B">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410" w:type="dxa"/>
          </w:tcPr>
          <w:p w14:paraId="591EA0BC">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25" w:type="dxa"/>
          </w:tcPr>
          <w:p w14:paraId="055192FC">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357" w:type="dxa"/>
          </w:tcPr>
          <w:p w14:paraId="4AC50CED">
            <w:pPr>
              <w:keepNext w:val="0"/>
              <w:keepLines w:val="0"/>
              <w:pageBreakBefore w:val="0"/>
              <w:kinsoku/>
              <w:overflowPunct/>
              <w:topLinePunct w:val="0"/>
              <w:bidi w:val="0"/>
              <w:spacing w:beforeAutospacing="0" w:after="0" w:afterAutospacing="0" w:line="500" w:lineRule="exact"/>
              <w:jc w:val="left"/>
              <w:rPr>
                <w:rFonts w:ascii="宋体" w:cs="宋体"/>
                <w:sz w:val="24"/>
              </w:rPr>
            </w:pPr>
          </w:p>
        </w:tc>
      </w:tr>
      <w:tr w14:paraId="2E428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71" w:type="dxa"/>
          </w:tcPr>
          <w:p w14:paraId="293E5BDD">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47" w:type="dxa"/>
          </w:tcPr>
          <w:p w14:paraId="3FB78273">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35" w:type="dxa"/>
          </w:tcPr>
          <w:p w14:paraId="400A1582">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85" w:type="dxa"/>
          </w:tcPr>
          <w:p w14:paraId="7DD3EFF4">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260" w:type="dxa"/>
          </w:tcPr>
          <w:p w14:paraId="621602B3">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410" w:type="dxa"/>
          </w:tcPr>
          <w:p w14:paraId="3A619A8A">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25" w:type="dxa"/>
          </w:tcPr>
          <w:p w14:paraId="36C6920A">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357" w:type="dxa"/>
          </w:tcPr>
          <w:p w14:paraId="1421B069">
            <w:pPr>
              <w:keepNext w:val="0"/>
              <w:keepLines w:val="0"/>
              <w:pageBreakBefore w:val="0"/>
              <w:kinsoku/>
              <w:overflowPunct/>
              <w:topLinePunct w:val="0"/>
              <w:bidi w:val="0"/>
              <w:spacing w:beforeAutospacing="0" w:after="0" w:afterAutospacing="0" w:line="500" w:lineRule="exact"/>
              <w:jc w:val="left"/>
              <w:rPr>
                <w:rFonts w:ascii="宋体" w:cs="宋体"/>
                <w:sz w:val="24"/>
              </w:rPr>
            </w:pPr>
          </w:p>
        </w:tc>
      </w:tr>
      <w:tr w14:paraId="60035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71" w:type="dxa"/>
          </w:tcPr>
          <w:p w14:paraId="3CDD76F5">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47" w:type="dxa"/>
          </w:tcPr>
          <w:p w14:paraId="72CD7F8C">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35" w:type="dxa"/>
          </w:tcPr>
          <w:p w14:paraId="5A9B58A7">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85" w:type="dxa"/>
          </w:tcPr>
          <w:p w14:paraId="725E5922">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260" w:type="dxa"/>
          </w:tcPr>
          <w:p w14:paraId="602F81F9">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410" w:type="dxa"/>
          </w:tcPr>
          <w:p w14:paraId="0020345B">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25" w:type="dxa"/>
          </w:tcPr>
          <w:p w14:paraId="7E4E9BCF">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357" w:type="dxa"/>
          </w:tcPr>
          <w:p w14:paraId="3BF557CA">
            <w:pPr>
              <w:keepNext w:val="0"/>
              <w:keepLines w:val="0"/>
              <w:pageBreakBefore w:val="0"/>
              <w:kinsoku/>
              <w:overflowPunct/>
              <w:topLinePunct w:val="0"/>
              <w:bidi w:val="0"/>
              <w:spacing w:beforeAutospacing="0" w:after="0" w:afterAutospacing="0" w:line="500" w:lineRule="exact"/>
              <w:jc w:val="left"/>
              <w:rPr>
                <w:rFonts w:ascii="宋体" w:cs="宋体"/>
                <w:sz w:val="24"/>
              </w:rPr>
            </w:pPr>
          </w:p>
        </w:tc>
      </w:tr>
      <w:tr w14:paraId="05A5A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71" w:type="dxa"/>
          </w:tcPr>
          <w:p w14:paraId="326731C0">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47" w:type="dxa"/>
          </w:tcPr>
          <w:p w14:paraId="21205A0A">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35" w:type="dxa"/>
          </w:tcPr>
          <w:p w14:paraId="5D41EDC4">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85" w:type="dxa"/>
          </w:tcPr>
          <w:p w14:paraId="0847DDB1">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260" w:type="dxa"/>
          </w:tcPr>
          <w:p w14:paraId="0AD5607E">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410" w:type="dxa"/>
          </w:tcPr>
          <w:p w14:paraId="6C5F4CB8">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25" w:type="dxa"/>
          </w:tcPr>
          <w:p w14:paraId="45AC0643">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357" w:type="dxa"/>
          </w:tcPr>
          <w:p w14:paraId="5A3C07E5">
            <w:pPr>
              <w:keepNext w:val="0"/>
              <w:keepLines w:val="0"/>
              <w:pageBreakBefore w:val="0"/>
              <w:kinsoku/>
              <w:overflowPunct/>
              <w:topLinePunct w:val="0"/>
              <w:bidi w:val="0"/>
              <w:spacing w:beforeAutospacing="0" w:after="0" w:afterAutospacing="0" w:line="500" w:lineRule="exact"/>
              <w:jc w:val="left"/>
              <w:rPr>
                <w:rFonts w:ascii="宋体" w:cs="宋体"/>
                <w:sz w:val="24"/>
              </w:rPr>
            </w:pPr>
          </w:p>
        </w:tc>
      </w:tr>
      <w:tr w14:paraId="3009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71" w:type="dxa"/>
          </w:tcPr>
          <w:p w14:paraId="08DDEBE2">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47" w:type="dxa"/>
          </w:tcPr>
          <w:p w14:paraId="272C9178">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35" w:type="dxa"/>
          </w:tcPr>
          <w:p w14:paraId="6BE8A3A4">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85" w:type="dxa"/>
          </w:tcPr>
          <w:p w14:paraId="0CBD5E3F">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260" w:type="dxa"/>
          </w:tcPr>
          <w:p w14:paraId="126481AA">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410" w:type="dxa"/>
          </w:tcPr>
          <w:p w14:paraId="37EA8A2D">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25" w:type="dxa"/>
          </w:tcPr>
          <w:p w14:paraId="4D87CDB2">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357" w:type="dxa"/>
          </w:tcPr>
          <w:p w14:paraId="7754B65A">
            <w:pPr>
              <w:keepNext w:val="0"/>
              <w:keepLines w:val="0"/>
              <w:pageBreakBefore w:val="0"/>
              <w:kinsoku/>
              <w:overflowPunct/>
              <w:topLinePunct w:val="0"/>
              <w:bidi w:val="0"/>
              <w:spacing w:beforeAutospacing="0" w:after="0" w:afterAutospacing="0" w:line="500" w:lineRule="exact"/>
              <w:jc w:val="left"/>
              <w:rPr>
                <w:rFonts w:ascii="宋体" w:cs="宋体"/>
                <w:sz w:val="24"/>
              </w:rPr>
            </w:pPr>
          </w:p>
        </w:tc>
      </w:tr>
      <w:tr w14:paraId="5E65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71" w:type="dxa"/>
          </w:tcPr>
          <w:p w14:paraId="7FAFEA90">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47" w:type="dxa"/>
          </w:tcPr>
          <w:p w14:paraId="55C3BD1D">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35" w:type="dxa"/>
          </w:tcPr>
          <w:p w14:paraId="235A3F8D">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85" w:type="dxa"/>
          </w:tcPr>
          <w:p w14:paraId="65C7F975">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260" w:type="dxa"/>
          </w:tcPr>
          <w:p w14:paraId="1C05FCB3">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410" w:type="dxa"/>
          </w:tcPr>
          <w:p w14:paraId="7C01CA38">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25" w:type="dxa"/>
          </w:tcPr>
          <w:p w14:paraId="23152DED">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357" w:type="dxa"/>
          </w:tcPr>
          <w:p w14:paraId="27010FDF">
            <w:pPr>
              <w:keepNext w:val="0"/>
              <w:keepLines w:val="0"/>
              <w:pageBreakBefore w:val="0"/>
              <w:kinsoku/>
              <w:overflowPunct/>
              <w:topLinePunct w:val="0"/>
              <w:bidi w:val="0"/>
              <w:spacing w:beforeAutospacing="0" w:after="0" w:afterAutospacing="0" w:line="500" w:lineRule="exact"/>
              <w:jc w:val="left"/>
              <w:rPr>
                <w:rFonts w:ascii="宋体" w:cs="宋体"/>
                <w:sz w:val="24"/>
              </w:rPr>
            </w:pPr>
          </w:p>
        </w:tc>
      </w:tr>
      <w:tr w14:paraId="3386D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71" w:type="dxa"/>
          </w:tcPr>
          <w:p w14:paraId="44A21613">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47" w:type="dxa"/>
          </w:tcPr>
          <w:p w14:paraId="0E5AF409">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35" w:type="dxa"/>
          </w:tcPr>
          <w:p w14:paraId="25654D12">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85" w:type="dxa"/>
          </w:tcPr>
          <w:p w14:paraId="566D8D06">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260" w:type="dxa"/>
          </w:tcPr>
          <w:p w14:paraId="1AC7DBD9">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410" w:type="dxa"/>
          </w:tcPr>
          <w:p w14:paraId="13067348">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25" w:type="dxa"/>
          </w:tcPr>
          <w:p w14:paraId="7F2C3E46">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357" w:type="dxa"/>
          </w:tcPr>
          <w:p w14:paraId="6F22A7A2">
            <w:pPr>
              <w:keepNext w:val="0"/>
              <w:keepLines w:val="0"/>
              <w:pageBreakBefore w:val="0"/>
              <w:kinsoku/>
              <w:overflowPunct/>
              <w:topLinePunct w:val="0"/>
              <w:bidi w:val="0"/>
              <w:spacing w:beforeAutospacing="0" w:after="0" w:afterAutospacing="0" w:line="500" w:lineRule="exact"/>
              <w:jc w:val="left"/>
              <w:rPr>
                <w:rFonts w:ascii="宋体" w:cs="宋体"/>
                <w:sz w:val="24"/>
              </w:rPr>
            </w:pPr>
          </w:p>
        </w:tc>
      </w:tr>
      <w:tr w14:paraId="3119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071" w:type="dxa"/>
          </w:tcPr>
          <w:p w14:paraId="2CE8AF54">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47" w:type="dxa"/>
          </w:tcPr>
          <w:p w14:paraId="58CF1A31">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035" w:type="dxa"/>
          </w:tcPr>
          <w:p w14:paraId="4DCD7EE4">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85" w:type="dxa"/>
          </w:tcPr>
          <w:p w14:paraId="48908FFD">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260" w:type="dxa"/>
          </w:tcPr>
          <w:p w14:paraId="402FF2D4">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410" w:type="dxa"/>
          </w:tcPr>
          <w:p w14:paraId="2F7A8E51">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125" w:type="dxa"/>
          </w:tcPr>
          <w:p w14:paraId="20B0EBB1">
            <w:pPr>
              <w:keepNext w:val="0"/>
              <w:keepLines w:val="0"/>
              <w:pageBreakBefore w:val="0"/>
              <w:kinsoku/>
              <w:overflowPunct/>
              <w:topLinePunct w:val="0"/>
              <w:bidi w:val="0"/>
              <w:spacing w:beforeAutospacing="0" w:after="0" w:afterAutospacing="0" w:line="500" w:lineRule="exact"/>
              <w:jc w:val="left"/>
              <w:rPr>
                <w:rFonts w:ascii="宋体" w:cs="宋体"/>
                <w:sz w:val="24"/>
              </w:rPr>
            </w:pPr>
          </w:p>
        </w:tc>
        <w:tc>
          <w:tcPr>
            <w:tcW w:w="1357" w:type="dxa"/>
          </w:tcPr>
          <w:p w14:paraId="3B1BC719">
            <w:pPr>
              <w:keepNext w:val="0"/>
              <w:keepLines w:val="0"/>
              <w:pageBreakBefore w:val="0"/>
              <w:kinsoku/>
              <w:overflowPunct/>
              <w:topLinePunct w:val="0"/>
              <w:bidi w:val="0"/>
              <w:spacing w:beforeAutospacing="0" w:after="0" w:afterAutospacing="0" w:line="500" w:lineRule="exact"/>
              <w:jc w:val="left"/>
              <w:rPr>
                <w:rFonts w:ascii="宋体" w:cs="宋体"/>
                <w:sz w:val="24"/>
              </w:rPr>
            </w:pPr>
          </w:p>
        </w:tc>
      </w:tr>
    </w:tbl>
    <w:p w14:paraId="73C6C13D">
      <w:pPr>
        <w:keepNext w:val="0"/>
        <w:keepLines w:val="0"/>
        <w:pageBreakBefore w:val="0"/>
        <w:kinsoku/>
        <w:overflowPunct/>
        <w:topLinePunct w:val="0"/>
        <w:bidi w:val="0"/>
        <w:spacing w:beforeAutospacing="0" w:after="0" w:afterAutospacing="0" w:line="500" w:lineRule="exact"/>
        <w:rPr>
          <w:rFonts w:ascii="宋体" w:cs="宋体"/>
          <w:b/>
          <w:bCs/>
          <w:sz w:val="24"/>
        </w:rPr>
      </w:pPr>
    </w:p>
    <w:p w14:paraId="43B55725">
      <w:pPr>
        <w:pStyle w:val="28"/>
        <w:keepNext w:val="0"/>
        <w:keepLines w:val="0"/>
        <w:pageBreakBefore w:val="0"/>
        <w:tabs>
          <w:tab w:val="left" w:pos="4312"/>
        </w:tabs>
        <w:kinsoku/>
        <w:overflowPunct/>
        <w:topLinePunct w:val="0"/>
        <w:bidi w:val="0"/>
        <w:spacing w:beforeLines="0" w:beforeAutospacing="0" w:after="0" w:afterLines="0" w:afterAutospacing="0" w:line="360" w:lineRule="auto"/>
        <w:rPr>
          <w:rFonts w:ascii="Times New Roman" w:hAnsi="Times New Roman"/>
        </w:rPr>
      </w:pPr>
      <w:r>
        <w:rPr>
          <w:rFonts w:hint="eastAsia" w:ascii="Times New Roman" w:hAnsi="Times New Roman"/>
        </w:rPr>
        <w:t>投标单位（公章）：</w:t>
      </w:r>
    </w:p>
    <w:p w14:paraId="510CD44D">
      <w:pPr>
        <w:pStyle w:val="28"/>
        <w:keepNext w:val="0"/>
        <w:keepLines w:val="0"/>
        <w:pageBreakBefore w:val="0"/>
        <w:tabs>
          <w:tab w:val="left" w:pos="4312"/>
        </w:tabs>
        <w:kinsoku/>
        <w:overflowPunct/>
        <w:topLinePunct w:val="0"/>
        <w:bidi w:val="0"/>
        <w:spacing w:beforeLines="0" w:beforeAutospacing="0" w:after="0" w:afterLines="0" w:afterAutospacing="0" w:line="360" w:lineRule="auto"/>
        <w:rPr>
          <w:rFonts w:ascii="Times New Roman" w:hAnsi="Times New Roman"/>
        </w:rPr>
      </w:pPr>
      <w:r>
        <w:rPr>
          <w:rFonts w:hint="eastAsia" w:ascii="Times New Roman" w:hAnsi="Times New Roman"/>
        </w:rPr>
        <w:t>授权代表签字：</w:t>
      </w:r>
    </w:p>
    <w:p w14:paraId="16EE2044">
      <w:pPr>
        <w:pStyle w:val="28"/>
        <w:keepNext w:val="0"/>
        <w:keepLines w:val="0"/>
        <w:pageBreakBefore w:val="0"/>
        <w:tabs>
          <w:tab w:val="left" w:pos="4312"/>
        </w:tabs>
        <w:kinsoku/>
        <w:overflowPunct/>
        <w:topLinePunct w:val="0"/>
        <w:bidi w:val="0"/>
        <w:spacing w:beforeLines="0" w:beforeAutospacing="0" w:after="0" w:afterLines="0" w:afterAutospacing="0" w:line="360" w:lineRule="auto"/>
        <w:rPr>
          <w:rFonts w:ascii="Times New Roman" w:hAnsi="Times New Roman"/>
        </w:rPr>
      </w:pPr>
      <w:r>
        <w:rPr>
          <w:rFonts w:hint="eastAsia" w:ascii="Times New Roman" w:hAnsi="Times New Roman"/>
        </w:rPr>
        <w:t>日期：</w:t>
      </w:r>
    </w:p>
    <w:p w14:paraId="52C0969B">
      <w:pPr>
        <w:keepNext w:val="0"/>
        <w:keepLines w:val="0"/>
        <w:pageBreakBefore w:val="0"/>
        <w:kinsoku/>
        <w:overflowPunct/>
        <w:topLinePunct w:val="0"/>
        <w:bidi w:val="0"/>
        <w:snapToGrid w:val="0"/>
        <w:spacing w:beforeAutospacing="0" w:after="0" w:afterAutospacing="0"/>
        <w:jc w:val="left"/>
        <w:rPr>
          <w:rFonts w:ascii="宋体"/>
          <w:b/>
          <w:sz w:val="24"/>
        </w:rPr>
      </w:pPr>
    </w:p>
    <w:p w14:paraId="68C7BA94">
      <w:pPr>
        <w:keepNext w:val="0"/>
        <w:keepLines w:val="0"/>
        <w:pageBreakBefore w:val="0"/>
        <w:kinsoku/>
        <w:overflowPunct/>
        <w:topLinePunct w:val="0"/>
        <w:bidi w:val="0"/>
        <w:snapToGrid w:val="0"/>
        <w:spacing w:beforeAutospacing="0" w:after="0" w:afterAutospacing="0"/>
        <w:jc w:val="left"/>
        <w:rPr>
          <w:rFonts w:ascii="宋体"/>
          <w:b/>
          <w:sz w:val="24"/>
        </w:rPr>
      </w:pPr>
    </w:p>
    <w:p w14:paraId="7578A467">
      <w:pPr>
        <w:keepNext w:val="0"/>
        <w:keepLines w:val="0"/>
        <w:pageBreakBefore w:val="0"/>
        <w:kinsoku/>
        <w:overflowPunct/>
        <w:topLinePunct w:val="0"/>
        <w:bidi w:val="0"/>
        <w:snapToGrid w:val="0"/>
        <w:spacing w:beforeAutospacing="0" w:after="0" w:afterAutospacing="0"/>
        <w:jc w:val="left"/>
        <w:rPr>
          <w:rFonts w:ascii="宋体"/>
          <w:b/>
          <w:sz w:val="24"/>
        </w:rPr>
      </w:pPr>
    </w:p>
    <w:p w14:paraId="724EBF3A">
      <w:pPr>
        <w:keepNext w:val="0"/>
        <w:keepLines w:val="0"/>
        <w:pageBreakBefore w:val="0"/>
        <w:kinsoku/>
        <w:overflowPunct/>
        <w:topLinePunct w:val="0"/>
        <w:bidi w:val="0"/>
        <w:snapToGrid w:val="0"/>
        <w:spacing w:beforeAutospacing="0" w:after="0" w:afterAutospacing="0"/>
        <w:jc w:val="left"/>
        <w:rPr>
          <w:rFonts w:ascii="宋体"/>
          <w:b/>
          <w:sz w:val="24"/>
        </w:rPr>
      </w:pPr>
    </w:p>
    <w:p w14:paraId="54773753">
      <w:pPr>
        <w:keepNext w:val="0"/>
        <w:keepLines w:val="0"/>
        <w:pageBreakBefore w:val="0"/>
        <w:kinsoku/>
        <w:overflowPunct/>
        <w:topLinePunct w:val="0"/>
        <w:bidi w:val="0"/>
        <w:snapToGrid w:val="0"/>
        <w:spacing w:beforeAutospacing="0" w:after="0" w:afterAutospacing="0"/>
        <w:jc w:val="left"/>
        <w:rPr>
          <w:rFonts w:ascii="宋体"/>
          <w:b/>
          <w:sz w:val="24"/>
        </w:rPr>
      </w:pPr>
    </w:p>
    <w:p w14:paraId="73E1D163">
      <w:pPr>
        <w:keepNext w:val="0"/>
        <w:keepLines w:val="0"/>
        <w:pageBreakBefore w:val="0"/>
        <w:kinsoku/>
        <w:overflowPunct/>
        <w:topLinePunct w:val="0"/>
        <w:bidi w:val="0"/>
        <w:spacing w:beforeAutospacing="0" w:after="0" w:afterAutospacing="0"/>
        <w:rPr>
          <w:rFonts w:ascii="宋体" w:hAnsi="宋体"/>
          <w:b/>
          <w:color w:val="0D0D0D"/>
          <w:sz w:val="24"/>
        </w:rPr>
      </w:pPr>
      <w:r>
        <w:rPr>
          <w:rFonts w:hint="eastAsia" w:ascii="宋体" w:hAnsi="宋体"/>
          <w:b/>
          <w:color w:val="0D0D0D"/>
          <w:sz w:val="24"/>
        </w:rPr>
        <w:br w:type="page"/>
      </w:r>
    </w:p>
    <w:p w14:paraId="7B07B057">
      <w:pPr>
        <w:keepNext w:val="0"/>
        <w:keepLines w:val="0"/>
        <w:pageBreakBefore w:val="0"/>
        <w:kinsoku/>
        <w:overflowPunct/>
        <w:topLinePunct w:val="0"/>
        <w:bidi w:val="0"/>
        <w:snapToGrid w:val="0"/>
        <w:spacing w:beforeAutospacing="0" w:after="0" w:afterAutospacing="0" w:line="360" w:lineRule="auto"/>
        <w:jc w:val="left"/>
        <w:rPr>
          <w:rFonts w:ascii="宋体" w:hAnsi="宋体"/>
          <w:b/>
          <w:color w:val="0D0D0D"/>
          <w:sz w:val="24"/>
          <w:szCs w:val="20"/>
        </w:rPr>
      </w:pPr>
      <w:r>
        <w:rPr>
          <w:rFonts w:hint="eastAsia" w:ascii="宋体" w:hAnsi="宋体"/>
          <w:b/>
          <w:color w:val="0D0D0D"/>
          <w:sz w:val="24"/>
        </w:rPr>
        <w:t>2.12货物具体配置表：</w:t>
      </w:r>
    </w:p>
    <w:p w14:paraId="51B042C8">
      <w:pPr>
        <w:keepNext w:val="0"/>
        <w:keepLines w:val="0"/>
        <w:pageBreakBefore w:val="0"/>
        <w:kinsoku/>
        <w:overflowPunct/>
        <w:topLinePunct w:val="0"/>
        <w:bidi w:val="0"/>
        <w:snapToGrid w:val="0"/>
        <w:spacing w:beforeAutospacing="0" w:after="0" w:afterAutospacing="0" w:line="360" w:lineRule="auto"/>
        <w:jc w:val="center"/>
        <w:rPr>
          <w:rFonts w:ascii="宋体" w:hAnsi="宋体"/>
          <w:b/>
          <w:color w:val="0D0D0D"/>
          <w:sz w:val="24"/>
        </w:rPr>
      </w:pPr>
      <w:r>
        <w:rPr>
          <w:rFonts w:ascii="宋体" w:hAnsi="宋体"/>
          <w:b/>
          <w:color w:val="0D0D0D"/>
          <w:sz w:val="24"/>
        </w:rPr>
        <w:t>货物</w:t>
      </w:r>
      <w:r>
        <w:rPr>
          <w:rFonts w:hint="eastAsia" w:ascii="宋体" w:hAnsi="宋体"/>
          <w:b/>
          <w:color w:val="0D0D0D"/>
          <w:sz w:val="24"/>
        </w:rPr>
        <w:t>具体配置表</w:t>
      </w:r>
    </w:p>
    <w:p w14:paraId="340CC8C7">
      <w:pPr>
        <w:keepNext w:val="0"/>
        <w:keepLines w:val="0"/>
        <w:pageBreakBefore w:val="0"/>
        <w:kinsoku/>
        <w:overflowPunct/>
        <w:topLinePunct w:val="0"/>
        <w:bidi w:val="0"/>
        <w:spacing w:beforeAutospacing="0" w:after="0" w:afterAutospacing="0" w:line="360" w:lineRule="auto"/>
        <w:ind w:right="904"/>
        <w:rPr>
          <w:color w:val="0D0D0D"/>
          <w:sz w:val="24"/>
        </w:rPr>
      </w:pPr>
      <w:r>
        <w:rPr>
          <w:rFonts w:hint="eastAsia"/>
          <w:color w:val="0D0D0D"/>
          <w:sz w:val="24"/>
        </w:rPr>
        <w:t>项目名称：</w:t>
      </w:r>
      <w:r>
        <w:rPr>
          <w:color w:val="0D0D0D"/>
          <w:sz w:val="24"/>
        </w:rPr>
        <w:t>招标编号：</w:t>
      </w:r>
    </w:p>
    <w:tbl>
      <w:tblPr>
        <w:tblStyle w:val="49"/>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596"/>
        <w:gridCol w:w="596"/>
        <w:gridCol w:w="1260"/>
        <w:gridCol w:w="1260"/>
        <w:gridCol w:w="3348"/>
        <w:gridCol w:w="1080"/>
        <w:gridCol w:w="1080"/>
      </w:tblGrid>
      <w:tr w14:paraId="13E7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695" w:hRule="exact"/>
          <w:jc w:val="center"/>
        </w:trPr>
        <w:tc>
          <w:tcPr>
            <w:tcW w:w="596" w:type="dxa"/>
            <w:tcBorders>
              <w:bottom w:val="nil"/>
            </w:tcBorders>
            <w:vAlign w:val="center"/>
          </w:tcPr>
          <w:p w14:paraId="1386829E">
            <w:pPr>
              <w:keepNext w:val="0"/>
              <w:keepLines w:val="0"/>
              <w:pageBreakBefore w:val="0"/>
              <w:kinsoku/>
              <w:overflowPunct/>
              <w:topLinePunct w:val="0"/>
              <w:bidi w:val="0"/>
              <w:spacing w:beforeAutospacing="0" w:after="0" w:afterAutospacing="0"/>
              <w:jc w:val="center"/>
              <w:rPr>
                <w:rFonts w:ascii="宋体" w:hAnsi="宋体"/>
                <w:color w:val="0D0D0D"/>
                <w:sz w:val="24"/>
              </w:rPr>
            </w:pPr>
            <w:r>
              <w:rPr>
                <w:rFonts w:hint="eastAsia" w:ascii="宋体" w:hAnsi="宋体"/>
                <w:color w:val="0D0D0D"/>
                <w:sz w:val="24"/>
              </w:rPr>
              <w:t>品牌型号</w:t>
            </w:r>
          </w:p>
        </w:tc>
        <w:tc>
          <w:tcPr>
            <w:tcW w:w="596" w:type="dxa"/>
            <w:tcBorders>
              <w:bottom w:val="nil"/>
            </w:tcBorders>
            <w:vAlign w:val="center"/>
          </w:tcPr>
          <w:p w14:paraId="33058254">
            <w:pPr>
              <w:keepNext w:val="0"/>
              <w:keepLines w:val="0"/>
              <w:pageBreakBefore w:val="0"/>
              <w:kinsoku/>
              <w:overflowPunct/>
              <w:topLinePunct w:val="0"/>
              <w:bidi w:val="0"/>
              <w:spacing w:beforeAutospacing="0" w:after="0" w:afterAutospacing="0"/>
              <w:jc w:val="center"/>
              <w:rPr>
                <w:rFonts w:ascii="宋体" w:hAnsi="宋体"/>
                <w:color w:val="0D0D0D"/>
                <w:sz w:val="24"/>
              </w:rPr>
            </w:pPr>
            <w:r>
              <w:rPr>
                <w:rFonts w:hint="eastAsia" w:ascii="宋体" w:hAnsi="宋体"/>
                <w:color w:val="0D0D0D"/>
                <w:sz w:val="24"/>
              </w:rPr>
              <w:t>序号</w:t>
            </w:r>
          </w:p>
        </w:tc>
        <w:tc>
          <w:tcPr>
            <w:tcW w:w="1260" w:type="dxa"/>
            <w:tcBorders>
              <w:bottom w:val="nil"/>
            </w:tcBorders>
            <w:vAlign w:val="center"/>
          </w:tcPr>
          <w:p w14:paraId="55CAAF75">
            <w:pPr>
              <w:keepNext w:val="0"/>
              <w:keepLines w:val="0"/>
              <w:pageBreakBefore w:val="0"/>
              <w:kinsoku/>
              <w:overflowPunct/>
              <w:topLinePunct w:val="0"/>
              <w:bidi w:val="0"/>
              <w:spacing w:beforeAutospacing="0" w:after="0" w:afterAutospacing="0"/>
              <w:jc w:val="center"/>
              <w:rPr>
                <w:rFonts w:ascii="宋体" w:hAnsi="宋体"/>
                <w:color w:val="0D0D0D"/>
                <w:sz w:val="24"/>
              </w:rPr>
            </w:pPr>
            <w:r>
              <w:rPr>
                <w:rFonts w:hint="eastAsia" w:ascii="宋体" w:hAnsi="宋体"/>
                <w:color w:val="0D0D0D"/>
                <w:sz w:val="24"/>
              </w:rPr>
              <w:t>配件名称型号</w:t>
            </w:r>
          </w:p>
        </w:tc>
        <w:tc>
          <w:tcPr>
            <w:tcW w:w="1260" w:type="dxa"/>
            <w:vAlign w:val="center"/>
          </w:tcPr>
          <w:p w14:paraId="27C60CC1">
            <w:pPr>
              <w:keepNext w:val="0"/>
              <w:keepLines w:val="0"/>
              <w:pageBreakBefore w:val="0"/>
              <w:kinsoku/>
              <w:overflowPunct/>
              <w:topLinePunct w:val="0"/>
              <w:bidi w:val="0"/>
              <w:spacing w:beforeAutospacing="0" w:after="0" w:afterAutospacing="0"/>
              <w:jc w:val="center"/>
              <w:rPr>
                <w:rFonts w:ascii="宋体" w:hAnsi="宋体"/>
                <w:color w:val="0D0D0D"/>
                <w:sz w:val="24"/>
              </w:rPr>
            </w:pPr>
            <w:r>
              <w:rPr>
                <w:rFonts w:hint="eastAsia" w:ascii="宋体" w:hAnsi="宋体"/>
                <w:color w:val="0D0D0D"/>
                <w:sz w:val="24"/>
              </w:rPr>
              <w:t>配件品牌</w:t>
            </w:r>
          </w:p>
        </w:tc>
        <w:tc>
          <w:tcPr>
            <w:tcW w:w="3348" w:type="dxa"/>
            <w:vAlign w:val="center"/>
          </w:tcPr>
          <w:p w14:paraId="5062F94E">
            <w:pPr>
              <w:keepNext w:val="0"/>
              <w:keepLines w:val="0"/>
              <w:pageBreakBefore w:val="0"/>
              <w:kinsoku/>
              <w:overflowPunct/>
              <w:topLinePunct w:val="0"/>
              <w:bidi w:val="0"/>
              <w:spacing w:beforeAutospacing="0" w:after="0" w:afterAutospacing="0"/>
              <w:ind w:right="54"/>
              <w:jc w:val="center"/>
              <w:rPr>
                <w:rFonts w:ascii="宋体" w:hAnsi="宋体"/>
                <w:color w:val="0D0D0D"/>
                <w:sz w:val="24"/>
              </w:rPr>
            </w:pPr>
            <w:r>
              <w:rPr>
                <w:rFonts w:hint="eastAsia" w:ascii="宋体" w:hAnsi="宋体"/>
                <w:color w:val="0D0D0D"/>
                <w:sz w:val="24"/>
              </w:rPr>
              <w:t>技术指标、功能及配置描述</w:t>
            </w:r>
          </w:p>
        </w:tc>
        <w:tc>
          <w:tcPr>
            <w:tcW w:w="1080" w:type="dxa"/>
            <w:vAlign w:val="center"/>
          </w:tcPr>
          <w:p w14:paraId="0321F751">
            <w:pPr>
              <w:keepNext w:val="0"/>
              <w:keepLines w:val="0"/>
              <w:pageBreakBefore w:val="0"/>
              <w:kinsoku/>
              <w:overflowPunct/>
              <w:topLinePunct w:val="0"/>
              <w:bidi w:val="0"/>
              <w:spacing w:beforeAutospacing="0" w:after="0" w:afterAutospacing="0"/>
              <w:ind w:right="54"/>
              <w:jc w:val="center"/>
              <w:rPr>
                <w:rFonts w:ascii="宋体" w:hAnsi="宋体"/>
                <w:color w:val="0D0D0D"/>
                <w:sz w:val="24"/>
              </w:rPr>
            </w:pPr>
            <w:r>
              <w:rPr>
                <w:rFonts w:hint="eastAsia" w:ascii="宋体" w:hAnsi="宋体"/>
                <w:color w:val="0D0D0D"/>
                <w:sz w:val="24"/>
              </w:rPr>
              <w:t>产地</w:t>
            </w:r>
          </w:p>
        </w:tc>
        <w:tc>
          <w:tcPr>
            <w:tcW w:w="1080" w:type="dxa"/>
            <w:vAlign w:val="center"/>
          </w:tcPr>
          <w:p w14:paraId="39280103">
            <w:pPr>
              <w:keepNext w:val="0"/>
              <w:keepLines w:val="0"/>
              <w:pageBreakBefore w:val="0"/>
              <w:kinsoku/>
              <w:overflowPunct/>
              <w:topLinePunct w:val="0"/>
              <w:bidi w:val="0"/>
              <w:spacing w:beforeAutospacing="0" w:after="0" w:afterAutospacing="0"/>
              <w:ind w:right="54"/>
              <w:jc w:val="center"/>
              <w:rPr>
                <w:rFonts w:ascii="宋体" w:hAnsi="宋体"/>
                <w:color w:val="0D0D0D"/>
                <w:sz w:val="24"/>
              </w:rPr>
            </w:pPr>
            <w:r>
              <w:rPr>
                <w:rFonts w:hint="eastAsia" w:ascii="宋体" w:hAnsi="宋体"/>
                <w:color w:val="0D0D0D"/>
                <w:sz w:val="24"/>
              </w:rPr>
              <w:t>备注</w:t>
            </w:r>
          </w:p>
        </w:tc>
      </w:tr>
      <w:tr w14:paraId="5112D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49" w:hRule="exact"/>
          <w:jc w:val="center"/>
        </w:trPr>
        <w:tc>
          <w:tcPr>
            <w:tcW w:w="596" w:type="dxa"/>
            <w:vMerge w:val="restart"/>
            <w:vAlign w:val="center"/>
          </w:tcPr>
          <w:p w14:paraId="74879A3C">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596" w:type="dxa"/>
            <w:vAlign w:val="center"/>
          </w:tcPr>
          <w:p w14:paraId="691966FF">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06D8B079">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65E85801">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3348" w:type="dxa"/>
            <w:vAlign w:val="center"/>
          </w:tcPr>
          <w:p w14:paraId="61AC37F8">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6444F038">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6C4B7C35">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r>
      <w:tr w14:paraId="436B1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49" w:hRule="exact"/>
          <w:jc w:val="center"/>
        </w:trPr>
        <w:tc>
          <w:tcPr>
            <w:tcW w:w="596" w:type="dxa"/>
            <w:vMerge w:val="continue"/>
            <w:vAlign w:val="center"/>
          </w:tcPr>
          <w:p w14:paraId="708F7689">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596" w:type="dxa"/>
            <w:vAlign w:val="center"/>
          </w:tcPr>
          <w:p w14:paraId="1A5B88E1">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301C47F9">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5EB38BBF">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3348" w:type="dxa"/>
            <w:vAlign w:val="center"/>
          </w:tcPr>
          <w:p w14:paraId="03D81556">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442A74CB">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57D5EA73">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r>
      <w:tr w14:paraId="27A20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49" w:hRule="exact"/>
          <w:jc w:val="center"/>
        </w:trPr>
        <w:tc>
          <w:tcPr>
            <w:tcW w:w="596" w:type="dxa"/>
            <w:vMerge w:val="continue"/>
            <w:vAlign w:val="center"/>
          </w:tcPr>
          <w:p w14:paraId="5F3A7C9F">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596" w:type="dxa"/>
            <w:vAlign w:val="center"/>
          </w:tcPr>
          <w:p w14:paraId="41433A29">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0FBCEAED">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0E4C676A">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3348" w:type="dxa"/>
            <w:vAlign w:val="center"/>
          </w:tcPr>
          <w:p w14:paraId="3CC244BA">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30375F3B">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79513F28">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r>
      <w:tr w14:paraId="20213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49" w:hRule="exact"/>
          <w:jc w:val="center"/>
        </w:trPr>
        <w:tc>
          <w:tcPr>
            <w:tcW w:w="596" w:type="dxa"/>
            <w:vMerge w:val="continue"/>
            <w:vAlign w:val="center"/>
          </w:tcPr>
          <w:p w14:paraId="3E913E5D">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596" w:type="dxa"/>
            <w:vAlign w:val="center"/>
          </w:tcPr>
          <w:p w14:paraId="2540E84C">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717355CB">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311C1A1E">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3348" w:type="dxa"/>
            <w:vAlign w:val="center"/>
          </w:tcPr>
          <w:p w14:paraId="3E191168">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4B29353F">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016DD474">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r>
      <w:tr w14:paraId="7EB2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49" w:hRule="exact"/>
          <w:jc w:val="center"/>
        </w:trPr>
        <w:tc>
          <w:tcPr>
            <w:tcW w:w="596" w:type="dxa"/>
            <w:vMerge w:val="continue"/>
            <w:vAlign w:val="center"/>
          </w:tcPr>
          <w:p w14:paraId="16F704CB">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596" w:type="dxa"/>
            <w:vAlign w:val="center"/>
          </w:tcPr>
          <w:p w14:paraId="76058FAC">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3D2F512E">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3E825658">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3348" w:type="dxa"/>
            <w:vAlign w:val="center"/>
          </w:tcPr>
          <w:p w14:paraId="5CAF58A2">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5EF0B7DB">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28D8F77D">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r>
      <w:tr w14:paraId="06CC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49" w:hRule="exact"/>
          <w:jc w:val="center"/>
        </w:trPr>
        <w:tc>
          <w:tcPr>
            <w:tcW w:w="596" w:type="dxa"/>
            <w:vMerge w:val="continue"/>
            <w:vAlign w:val="center"/>
          </w:tcPr>
          <w:p w14:paraId="2C6A15AD">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596" w:type="dxa"/>
            <w:vAlign w:val="center"/>
          </w:tcPr>
          <w:p w14:paraId="75C1B315">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4E83C501">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30379760">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3348" w:type="dxa"/>
            <w:vAlign w:val="center"/>
          </w:tcPr>
          <w:p w14:paraId="213B75C4">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686CDD9C">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24DEE0C3">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r>
      <w:tr w14:paraId="19F3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49" w:hRule="exact"/>
          <w:jc w:val="center"/>
        </w:trPr>
        <w:tc>
          <w:tcPr>
            <w:tcW w:w="596" w:type="dxa"/>
            <w:vMerge w:val="continue"/>
            <w:vAlign w:val="center"/>
          </w:tcPr>
          <w:p w14:paraId="2E5F8CE6">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596" w:type="dxa"/>
            <w:vAlign w:val="center"/>
          </w:tcPr>
          <w:p w14:paraId="4CDF92D7">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5FF856E1">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76A33CE8">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3348" w:type="dxa"/>
            <w:vAlign w:val="center"/>
          </w:tcPr>
          <w:p w14:paraId="1FA9B6FE">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32003CAE">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31858CBE">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r>
      <w:tr w14:paraId="599F1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49" w:hRule="exact"/>
          <w:jc w:val="center"/>
        </w:trPr>
        <w:tc>
          <w:tcPr>
            <w:tcW w:w="596" w:type="dxa"/>
            <w:vMerge w:val="continue"/>
            <w:vAlign w:val="center"/>
          </w:tcPr>
          <w:p w14:paraId="2ED881E1">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596" w:type="dxa"/>
            <w:vAlign w:val="center"/>
          </w:tcPr>
          <w:p w14:paraId="082ED514">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370E00CD">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7AD48AB0">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3348" w:type="dxa"/>
            <w:vAlign w:val="center"/>
          </w:tcPr>
          <w:p w14:paraId="3D037001">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62C2EA1B">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11154CB4">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r>
      <w:tr w14:paraId="735B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49" w:hRule="exact"/>
          <w:jc w:val="center"/>
        </w:trPr>
        <w:tc>
          <w:tcPr>
            <w:tcW w:w="596" w:type="dxa"/>
            <w:vMerge w:val="continue"/>
            <w:vAlign w:val="center"/>
          </w:tcPr>
          <w:p w14:paraId="11D2DF16">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596" w:type="dxa"/>
            <w:vAlign w:val="center"/>
          </w:tcPr>
          <w:p w14:paraId="70BF7928">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4A47062D">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1260" w:type="dxa"/>
            <w:vAlign w:val="center"/>
          </w:tcPr>
          <w:p w14:paraId="748892C3">
            <w:pPr>
              <w:keepNext w:val="0"/>
              <w:keepLines w:val="0"/>
              <w:pageBreakBefore w:val="0"/>
              <w:kinsoku/>
              <w:overflowPunct/>
              <w:topLinePunct w:val="0"/>
              <w:bidi w:val="0"/>
              <w:spacing w:beforeAutospacing="0" w:after="0" w:afterAutospacing="0" w:line="360" w:lineRule="auto"/>
              <w:jc w:val="center"/>
              <w:rPr>
                <w:rFonts w:ascii="宋体" w:hAnsi="宋体"/>
                <w:color w:val="0D0D0D"/>
                <w:sz w:val="24"/>
              </w:rPr>
            </w:pPr>
          </w:p>
        </w:tc>
        <w:tc>
          <w:tcPr>
            <w:tcW w:w="3348" w:type="dxa"/>
            <w:vAlign w:val="center"/>
          </w:tcPr>
          <w:p w14:paraId="2B5D2234">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2F43B0E2">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c>
          <w:tcPr>
            <w:tcW w:w="1080" w:type="dxa"/>
            <w:vAlign w:val="center"/>
          </w:tcPr>
          <w:p w14:paraId="5FEE25DD">
            <w:pPr>
              <w:keepNext w:val="0"/>
              <w:keepLines w:val="0"/>
              <w:pageBreakBefore w:val="0"/>
              <w:kinsoku/>
              <w:overflowPunct/>
              <w:topLinePunct w:val="0"/>
              <w:bidi w:val="0"/>
              <w:spacing w:beforeAutospacing="0" w:after="0" w:afterAutospacing="0" w:line="360" w:lineRule="auto"/>
              <w:ind w:right="54"/>
              <w:jc w:val="center"/>
              <w:rPr>
                <w:rFonts w:ascii="宋体" w:hAnsi="宋体"/>
                <w:color w:val="0D0D0D"/>
                <w:sz w:val="24"/>
              </w:rPr>
            </w:pPr>
          </w:p>
        </w:tc>
      </w:tr>
    </w:tbl>
    <w:p w14:paraId="2D4705EC">
      <w:pPr>
        <w:keepNext w:val="0"/>
        <w:keepLines w:val="0"/>
        <w:pageBreakBefore w:val="0"/>
        <w:tabs>
          <w:tab w:val="left" w:pos="4312"/>
        </w:tabs>
        <w:kinsoku/>
        <w:overflowPunct/>
        <w:topLinePunct w:val="0"/>
        <w:bidi w:val="0"/>
        <w:spacing w:beforeAutospacing="0" w:after="0" w:afterAutospacing="0" w:line="360" w:lineRule="auto"/>
        <w:rPr>
          <w:color w:val="0D0D0D"/>
          <w:sz w:val="24"/>
        </w:rPr>
      </w:pPr>
    </w:p>
    <w:p w14:paraId="18E4B61B">
      <w:pPr>
        <w:keepNext w:val="0"/>
        <w:keepLines w:val="0"/>
        <w:pageBreakBefore w:val="0"/>
        <w:tabs>
          <w:tab w:val="left" w:pos="4312"/>
        </w:tabs>
        <w:kinsoku/>
        <w:overflowPunct/>
        <w:topLinePunct w:val="0"/>
        <w:bidi w:val="0"/>
        <w:spacing w:beforeAutospacing="0" w:after="0" w:afterAutospacing="0" w:line="360" w:lineRule="auto"/>
        <w:rPr>
          <w:color w:val="0D0D0D"/>
          <w:sz w:val="24"/>
        </w:rPr>
      </w:pPr>
      <w:r>
        <w:rPr>
          <w:rFonts w:hint="eastAsia"/>
          <w:color w:val="0D0D0D"/>
          <w:sz w:val="24"/>
        </w:rPr>
        <w:t>投标单位（公章）：</w:t>
      </w:r>
    </w:p>
    <w:p w14:paraId="6A7385C6">
      <w:pPr>
        <w:keepNext w:val="0"/>
        <w:keepLines w:val="0"/>
        <w:pageBreakBefore w:val="0"/>
        <w:tabs>
          <w:tab w:val="left" w:pos="4312"/>
        </w:tabs>
        <w:kinsoku/>
        <w:overflowPunct/>
        <w:topLinePunct w:val="0"/>
        <w:bidi w:val="0"/>
        <w:spacing w:beforeAutospacing="0" w:after="0" w:afterAutospacing="0" w:line="360" w:lineRule="auto"/>
        <w:rPr>
          <w:color w:val="0D0D0D"/>
          <w:sz w:val="24"/>
        </w:rPr>
      </w:pPr>
      <w:r>
        <w:rPr>
          <w:rFonts w:hint="eastAsia"/>
          <w:color w:val="0D0D0D"/>
          <w:sz w:val="24"/>
        </w:rPr>
        <w:t>授权</w:t>
      </w:r>
      <w:r>
        <w:rPr>
          <w:color w:val="0D0D0D"/>
          <w:sz w:val="24"/>
        </w:rPr>
        <w:t>代表签字：</w:t>
      </w:r>
    </w:p>
    <w:p w14:paraId="48EC8EF6">
      <w:pPr>
        <w:keepNext w:val="0"/>
        <w:keepLines w:val="0"/>
        <w:pageBreakBefore w:val="0"/>
        <w:tabs>
          <w:tab w:val="left" w:pos="4312"/>
        </w:tabs>
        <w:kinsoku/>
        <w:overflowPunct/>
        <w:topLinePunct w:val="0"/>
        <w:bidi w:val="0"/>
        <w:spacing w:beforeAutospacing="0" w:after="0" w:afterAutospacing="0" w:line="360" w:lineRule="auto"/>
        <w:rPr>
          <w:color w:val="0D0D0D"/>
          <w:sz w:val="24"/>
        </w:rPr>
      </w:pPr>
      <w:r>
        <w:rPr>
          <w:rFonts w:hint="eastAsia"/>
          <w:color w:val="0D0D0D"/>
          <w:sz w:val="24"/>
        </w:rPr>
        <w:t>日期：</w:t>
      </w:r>
    </w:p>
    <w:p w14:paraId="67729443">
      <w:pPr>
        <w:keepNext w:val="0"/>
        <w:keepLines w:val="0"/>
        <w:pageBreakBefore w:val="0"/>
        <w:kinsoku/>
        <w:overflowPunct/>
        <w:topLinePunct w:val="0"/>
        <w:bidi w:val="0"/>
        <w:spacing w:beforeAutospacing="0" w:after="0" w:afterAutospacing="0" w:line="360" w:lineRule="auto"/>
        <w:rPr>
          <w:color w:val="0D0D0D"/>
          <w:sz w:val="24"/>
        </w:rPr>
      </w:pPr>
    </w:p>
    <w:p w14:paraId="34816109">
      <w:pPr>
        <w:keepNext w:val="0"/>
        <w:keepLines w:val="0"/>
        <w:pageBreakBefore w:val="0"/>
        <w:kinsoku/>
        <w:overflowPunct/>
        <w:topLinePunct w:val="0"/>
        <w:bidi w:val="0"/>
        <w:spacing w:beforeAutospacing="0" w:after="0" w:afterAutospacing="0" w:line="360" w:lineRule="auto"/>
        <w:rPr>
          <w:color w:val="0D0D0D"/>
          <w:sz w:val="24"/>
        </w:rPr>
      </w:pPr>
    </w:p>
    <w:p w14:paraId="73B43A12">
      <w:pPr>
        <w:keepNext w:val="0"/>
        <w:keepLines w:val="0"/>
        <w:pageBreakBefore w:val="0"/>
        <w:kinsoku/>
        <w:overflowPunct/>
        <w:topLinePunct w:val="0"/>
        <w:bidi w:val="0"/>
        <w:spacing w:beforeAutospacing="0" w:after="0" w:afterAutospacing="0" w:line="360" w:lineRule="auto"/>
        <w:rPr>
          <w:color w:val="0D0D0D"/>
          <w:sz w:val="24"/>
        </w:rPr>
      </w:pPr>
      <w:r>
        <w:rPr>
          <w:rFonts w:hint="eastAsia"/>
          <w:color w:val="0D0D0D"/>
          <w:sz w:val="24"/>
        </w:rPr>
        <w:t>注：此表在不改变投标内容的情况下可自行制作</w:t>
      </w:r>
    </w:p>
    <w:p w14:paraId="4F4BC9EC">
      <w:pPr>
        <w:keepNext w:val="0"/>
        <w:keepLines w:val="0"/>
        <w:pageBreakBefore w:val="0"/>
        <w:kinsoku/>
        <w:overflowPunct/>
        <w:topLinePunct w:val="0"/>
        <w:bidi w:val="0"/>
        <w:spacing w:beforeAutospacing="0" w:after="0" w:afterAutospacing="0"/>
        <w:rPr>
          <w:color w:val="0D0D0D"/>
          <w:sz w:val="24"/>
        </w:rPr>
      </w:pPr>
      <w:r>
        <w:rPr>
          <w:rFonts w:hint="eastAsia"/>
          <w:color w:val="0D0D0D"/>
          <w:sz w:val="24"/>
        </w:rPr>
        <w:br w:type="page"/>
      </w:r>
    </w:p>
    <w:p w14:paraId="34C62AEE">
      <w:pPr>
        <w:pStyle w:val="15"/>
        <w:keepNext w:val="0"/>
        <w:keepLines w:val="0"/>
        <w:pageBreakBefore w:val="0"/>
        <w:kinsoku/>
        <w:overflowPunct/>
        <w:topLinePunct w:val="0"/>
        <w:bidi w:val="0"/>
        <w:spacing w:beforeAutospacing="0" w:after="0" w:afterAutospacing="0"/>
      </w:pPr>
      <w:r>
        <w:rPr>
          <w:rFonts w:hint="eastAsia" w:ascii="宋体" w:cs="宋体"/>
          <w:b/>
          <w:bCs/>
          <w:sz w:val="24"/>
          <w:szCs w:val="24"/>
        </w:rPr>
        <w:t>2.13</w:t>
      </w:r>
    </w:p>
    <w:p w14:paraId="0F05C419">
      <w:pPr>
        <w:keepNext w:val="0"/>
        <w:keepLines w:val="0"/>
        <w:pageBreakBefore w:val="0"/>
        <w:kinsoku/>
        <w:overflowPunct/>
        <w:topLinePunct w:val="0"/>
        <w:bidi w:val="0"/>
        <w:spacing w:beforeAutospacing="0" w:after="0" w:afterAutospacing="0"/>
        <w:jc w:val="center"/>
        <w:rPr>
          <w:rFonts w:ascii="宋体" w:hAnsi="宋体"/>
          <w:sz w:val="44"/>
          <w:szCs w:val="44"/>
        </w:rPr>
      </w:pPr>
      <w:r>
        <w:rPr>
          <w:rFonts w:hint="eastAsia" w:ascii="宋体" w:hAnsi="宋体"/>
          <w:sz w:val="44"/>
          <w:szCs w:val="44"/>
        </w:rPr>
        <w:t>东阳市政府采购代理机构社会评价表</w:t>
      </w:r>
    </w:p>
    <w:p w14:paraId="0C2167EB">
      <w:pPr>
        <w:keepNext w:val="0"/>
        <w:keepLines w:val="0"/>
        <w:pageBreakBefore w:val="0"/>
        <w:kinsoku/>
        <w:overflowPunct/>
        <w:topLinePunct w:val="0"/>
        <w:bidi w:val="0"/>
        <w:spacing w:beforeAutospacing="0" w:after="0" w:afterAutospacing="0"/>
        <w:rPr>
          <w:rFonts w:ascii="宋体" w:hAnsi="宋体"/>
          <w:sz w:val="28"/>
          <w:szCs w:val="28"/>
        </w:rPr>
      </w:pPr>
      <w:r>
        <w:rPr>
          <w:rFonts w:hint="eastAsia" w:ascii="宋体" w:hAnsi="宋体"/>
          <w:sz w:val="28"/>
          <w:szCs w:val="28"/>
        </w:rPr>
        <w:t>代理机构名称：金华市金诚招投标代理有限公司</w:t>
      </w:r>
    </w:p>
    <w:tbl>
      <w:tblPr>
        <w:tblStyle w:val="49"/>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470"/>
        <w:gridCol w:w="696"/>
        <w:gridCol w:w="1068"/>
        <w:gridCol w:w="132"/>
        <w:gridCol w:w="900"/>
        <w:gridCol w:w="787"/>
        <w:gridCol w:w="2885"/>
      </w:tblGrid>
      <w:tr w14:paraId="7683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1242" w:type="dxa"/>
            <w:tcBorders>
              <w:top w:val="single" w:color="auto" w:sz="4" w:space="0"/>
              <w:left w:val="single" w:color="auto" w:sz="4" w:space="0"/>
              <w:bottom w:val="single" w:color="auto" w:sz="4" w:space="0"/>
              <w:right w:val="single" w:color="auto" w:sz="4" w:space="0"/>
            </w:tcBorders>
            <w:noWrap/>
            <w:vAlign w:val="center"/>
          </w:tcPr>
          <w:p w14:paraId="08351A8A">
            <w:pPr>
              <w:keepNext w:val="0"/>
              <w:keepLines w:val="0"/>
              <w:pageBreakBefore w:val="0"/>
              <w:kinsoku/>
              <w:overflowPunct/>
              <w:topLinePunct w:val="0"/>
              <w:bidi w:val="0"/>
              <w:spacing w:beforeAutospacing="0" w:after="0" w:afterAutospacing="0"/>
              <w:jc w:val="center"/>
              <w:rPr>
                <w:sz w:val="24"/>
                <w:szCs w:val="24"/>
              </w:rPr>
            </w:pPr>
            <w:r>
              <w:rPr>
                <w:rFonts w:hint="eastAsia" w:ascii="宋体" w:hAnsi="宋体"/>
                <w:sz w:val="24"/>
                <w:szCs w:val="24"/>
              </w:rPr>
              <w:t>填表人类别</w:t>
            </w:r>
          </w:p>
        </w:tc>
        <w:tc>
          <w:tcPr>
            <w:tcW w:w="7938" w:type="dxa"/>
            <w:gridSpan w:val="7"/>
            <w:tcBorders>
              <w:top w:val="single" w:color="auto" w:sz="4" w:space="0"/>
              <w:left w:val="nil"/>
              <w:bottom w:val="single" w:color="auto" w:sz="4" w:space="0"/>
              <w:right w:val="single" w:color="auto" w:sz="4" w:space="0"/>
            </w:tcBorders>
            <w:noWrap/>
            <w:vAlign w:val="center"/>
          </w:tcPr>
          <w:p w14:paraId="69C4AC07">
            <w:pPr>
              <w:keepNext w:val="0"/>
              <w:keepLines w:val="0"/>
              <w:pageBreakBefore w:val="0"/>
              <w:kinsoku/>
              <w:overflowPunct/>
              <w:topLinePunct w:val="0"/>
              <w:bidi w:val="0"/>
              <w:spacing w:beforeAutospacing="0" w:after="0" w:afterAutospacing="0"/>
              <w:ind w:firstLine="480" w:firstLineChars="200"/>
              <w:jc w:val="center"/>
              <w:rPr>
                <w:sz w:val="24"/>
                <w:szCs w:val="24"/>
              </w:rPr>
            </w:pPr>
            <w:r>
              <w:rPr>
                <w:rFonts w:hint="eastAsia" w:ascii="宋体" w:hAnsi="宋体"/>
                <w:sz w:val="24"/>
                <w:szCs w:val="24"/>
              </w:rPr>
              <w:t>□采购单位□供应商□专家</w:t>
            </w:r>
          </w:p>
        </w:tc>
      </w:tr>
      <w:tr w14:paraId="7D29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1242" w:type="dxa"/>
            <w:tcBorders>
              <w:top w:val="single" w:color="auto" w:sz="4" w:space="0"/>
              <w:left w:val="single" w:color="auto" w:sz="4" w:space="0"/>
              <w:bottom w:val="single" w:color="auto" w:sz="4" w:space="0"/>
              <w:right w:val="single" w:color="auto" w:sz="4" w:space="0"/>
            </w:tcBorders>
            <w:noWrap/>
            <w:vAlign w:val="center"/>
          </w:tcPr>
          <w:p w14:paraId="125E258E">
            <w:pPr>
              <w:keepNext w:val="0"/>
              <w:keepLines w:val="0"/>
              <w:pageBreakBefore w:val="0"/>
              <w:kinsoku/>
              <w:overflowPunct/>
              <w:topLinePunct w:val="0"/>
              <w:bidi w:val="0"/>
              <w:spacing w:beforeAutospacing="0" w:after="0" w:afterAutospacing="0"/>
              <w:jc w:val="center"/>
              <w:rPr>
                <w:sz w:val="24"/>
                <w:szCs w:val="24"/>
              </w:rPr>
            </w:pPr>
            <w:r>
              <w:rPr>
                <w:rFonts w:hint="eastAsia" w:ascii="宋体" w:hAnsi="宋体"/>
                <w:sz w:val="24"/>
                <w:szCs w:val="24"/>
              </w:rPr>
              <w:t>填表人名称或姓名</w:t>
            </w:r>
          </w:p>
        </w:tc>
        <w:tc>
          <w:tcPr>
            <w:tcW w:w="3366" w:type="dxa"/>
            <w:gridSpan w:val="4"/>
            <w:tcBorders>
              <w:top w:val="single" w:color="auto" w:sz="4" w:space="0"/>
              <w:left w:val="nil"/>
              <w:bottom w:val="single" w:color="auto" w:sz="4" w:space="0"/>
              <w:right w:val="single" w:color="auto" w:sz="4" w:space="0"/>
            </w:tcBorders>
            <w:noWrap/>
            <w:vAlign w:val="center"/>
          </w:tcPr>
          <w:p w14:paraId="345FF268">
            <w:pPr>
              <w:keepNext w:val="0"/>
              <w:keepLines w:val="0"/>
              <w:pageBreakBefore w:val="0"/>
              <w:kinsoku/>
              <w:overflowPunct/>
              <w:topLinePunct w:val="0"/>
              <w:bidi w:val="0"/>
              <w:spacing w:beforeAutospacing="0" w:after="0" w:afterAutospacing="0"/>
              <w:jc w:val="center"/>
              <w:rPr>
                <w:sz w:val="24"/>
                <w:szCs w:val="24"/>
              </w:rPr>
            </w:pPr>
          </w:p>
        </w:tc>
        <w:tc>
          <w:tcPr>
            <w:tcW w:w="900" w:type="dxa"/>
            <w:tcBorders>
              <w:top w:val="single" w:color="auto" w:sz="4" w:space="0"/>
              <w:left w:val="nil"/>
              <w:bottom w:val="single" w:color="auto" w:sz="4" w:space="0"/>
              <w:right w:val="single" w:color="auto" w:sz="4" w:space="0"/>
            </w:tcBorders>
            <w:noWrap/>
            <w:vAlign w:val="center"/>
          </w:tcPr>
          <w:p w14:paraId="03A5E5EB">
            <w:pPr>
              <w:keepNext w:val="0"/>
              <w:keepLines w:val="0"/>
              <w:pageBreakBefore w:val="0"/>
              <w:kinsoku/>
              <w:overflowPunct/>
              <w:topLinePunct w:val="0"/>
              <w:bidi w:val="0"/>
              <w:spacing w:beforeAutospacing="0" w:after="0" w:afterAutospacing="0"/>
              <w:jc w:val="center"/>
              <w:rPr>
                <w:sz w:val="24"/>
                <w:szCs w:val="24"/>
              </w:rPr>
            </w:pPr>
            <w:r>
              <w:rPr>
                <w:rFonts w:hint="eastAsia" w:ascii="宋体" w:hAnsi="宋体"/>
                <w:sz w:val="24"/>
                <w:szCs w:val="24"/>
              </w:rPr>
              <w:t>地址</w:t>
            </w:r>
          </w:p>
        </w:tc>
        <w:tc>
          <w:tcPr>
            <w:tcW w:w="3672" w:type="dxa"/>
            <w:gridSpan w:val="2"/>
            <w:tcBorders>
              <w:top w:val="single" w:color="auto" w:sz="4" w:space="0"/>
              <w:left w:val="nil"/>
              <w:bottom w:val="single" w:color="auto" w:sz="4" w:space="0"/>
              <w:right w:val="single" w:color="auto" w:sz="4" w:space="0"/>
            </w:tcBorders>
            <w:noWrap/>
            <w:vAlign w:val="center"/>
          </w:tcPr>
          <w:p w14:paraId="65E7F1B8">
            <w:pPr>
              <w:keepNext w:val="0"/>
              <w:keepLines w:val="0"/>
              <w:pageBreakBefore w:val="0"/>
              <w:kinsoku/>
              <w:overflowPunct/>
              <w:topLinePunct w:val="0"/>
              <w:bidi w:val="0"/>
              <w:spacing w:beforeAutospacing="0" w:after="0" w:afterAutospacing="0"/>
              <w:jc w:val="center"/>
              <w:rPr>
                <w:sz w:val="24"/>
                <w:szCs w:val="24"/>
              </w:rPr>
            </w:pPr>
          </w:p>
        </w:tc>
      </w:tr>
      <w:tr w14:paraId="04BC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42" w:type="dxa"/>
            <w:tcBorders>
              <w:top w:val="single" w:color="auto" w:sz="4" w:space="0"/>
              <w:left w:val="single" w:color="auto" w:sz="4" w:space="0"/>
              <w:bottom w:val="single" w:color="auto" w:sz="4" w:space="0"/>
              <w:right w:val="single" w:color="auto" w:sz="4" w:space="0"/>
            </w:tcBorders>
            <w:noWrap/>
            <w:vAlign w:val="center"/>
          </w:tcPr>
          <w:p w14:paraId="3A736A42">
            <w:pPr>
              <w:keepNext w:val="0"/>
              <w:keepLines w:val="0"/>
              <w:pageBreakBefore w:val="0"/>
              <w:kinsoku/>
              <w:overflowPunct/>
              <w:topLinePunct w:val="0"/>
              <w:bidi w:val="0"/>
              <w:spacing w:beforeAutospacing="0" w:after="0" w:afterAutospacing="0"/>
              <w:jc w:val="center"/>
              <w:rPr>
                <w:sz w:val="24"/>
                <w:szCs w:val="24"/>
              </w:rPr>
            </w:pPr>
            <w:r>
              <w:rPr>
                <w:rFonts w:hint="eastAsia" w:ascii="宋体" w:hAnsi="宋体"/>
                <w:sz w:val="24"/>
                <w:szCs w:val="24"/>
              </w:rPr>
              <w:t>联系人</w:t>
            </w:r>
          </w:p>
        </w:tc>
        <w:tc>
          <w:tcPr>
            <w:tcW w:w="1470" w:type="dxa"/>
            <w:tcBorders>
              <w:top w:val="single" w:color="auto" w:sz="4" w:space="0"/>
              <w:left w:val="nil"/>
              <w:bottom w:val="single" w:color="auto" w:sz="4" w:space="0"/>
              <w:right w:val="single" w:color="auto" w:sz="4" w:space="0"/>
            </w:tcBorders>
            <w:noWrap/>
            <w:vAlign w:val="center"/>
          </w:tcPr>
          <w:p w14:paraId="09236183">
            <w:pPr>
              <w:keepNext w:val="0"/>
              <w:keepLines w:val="0"/>
              <w:pageBreakBefore w:val="0"/>
              <w:kinsoku/>
              <w:overflowPunct/>
              <w:topLinePunct w:val="0"/>
              <w:bidi w:val="0"/>
              <w:spacing w:beforeAutospacing="0" w:after="0" w:afterAutospacing="0"/>
              <w:jc w:val="center"/>
              <w:rPr>
                <w:sz w:val="24"/>
                <w:szCs w:val="24"/>
              </w:rPr>
            </w:pPr>
          </w:p>
        </w:tc>
        <w:tc>
          <w:tcPr>
            <w:tcW w:w="696" w:type="dxa"/>
            <w:tcBorders>
              <w:top w:val="single" w:color="auto" w:sz="4" w:space="0"/>
              <w:left w:val="nil"/>
              <w:bottom w:val="single" w:color="auto" w:sz="4" w:space="0"/>
              <w:right w:val="single" w:color="auto" w:sz="4" w:space="0"/>
            </w:tcBorders>
            <w:noWrap/>
            <w:vAlign w:val="center"/>
          </w:tcPr>
          <w:p w14:paraId="14CD1F19">
            <w:pPr>
              <w:keepNext w:val="0"/>
              <w:keepLines w:val="0"/>
              <w:pageBreakBefore w:val="0"/>
              <w:kinsoku/>
              <w:overflowPunct/>
              <w:topLinePunct w:val="0"/>
              <w:bidi w:val="0"/>
              <w:spacing w:beforeAutospacing="0" w:after="0" w:afterAutospacing="0"/>
              <w:jc w:val="center"/>
              <w:rPr>
                <w:sz w:val="24"/>
                <w:szCs w:val="24"/>
              </w:rPr>
            </w:pPr>
            <w:r>
              <w:rPr>
                <w:rFonts w:hint="eastAsia" w:ascii="宋体" w:hAnsi="宋体"/>
                <w:sz w:val="24"/>
                <w:szCs w:val="24"/>
              </w:rPr>
              <w:t>电话</w:t>
            </w:r>
          </w:p>
        </w:tc>
        <w:tc>
          <w:tcPr>
            <w:tcW w:w="2100" w:type="dxa"/>
            <w:gridSpan w:val="3"/>
            <w:tcBorders>
              <w:top w:val="single" w:color="auto" w:sz="4" w:space="0"/>
              <w:left w:val="nil"/>
              <w:bottom w:val="single" w:color="auto" w:sz="4" w:space="0"/>
              <w:right w:val="single" w:color="auto" w:sz="4" w:space="0"/>
            </w:tcBorders>
            <w:noWrap/>
            <w:vAlign w:val="center"/>
          </w:tcPr>
          <w:p w14:paraId="33B9F9D9">
            <w:pPr>
              <w:keepNext w:val="0"/>
              <w:keepLines w:val="0"/>
              <w:pageBreakBefore w:val="0"/>
              <w:kinsoku/>
              <w:overflowPunct/>
              <w:topLinePunct w:val="0"/>
              <w:bidi w:val="0"/>
              <w:spacing w:beforeAutospacing="0" w:after="0" w:afterAutospacing="0"/>
              <w:jc w:val="center"/>
              <w:rPr>
                <w:sz w:val="24"/>
                <w:szCs w:val="24"/>
              </w:rPr>
            </w:pPr>
          </w:p>
        </w:tc>
        <w:tc>
          <w:tcPr>
            <w:tcW w:w="787" w:type="dxa"/>
            <w:tcBorders>
              <w:top w:val="single" w:color="auto" w:sz="4" w:space="0"/>
              <w:left w:val="nil"/>
              <w:bottom w:val="single" w:color="auto" w:sz="4" w:space="0"/>
              <w:right w:val="single" w:color="auto" w:sz="4" w:space="0"/>
            </w:tcBorders>
            <w:noWrap/>
            <w:vAlign w:val="center"/>
          </w:tcPr>
          <w:p w14:paraId="01C2B753">
            <w:pPr>
              <w:keepNext w:val="0"/>
              <w:keepLines w:val="0"/>
              <w:pageBreakBefore w:val="0"/>
              <w:kinsoku/>
              <w:overflowPunct/>
              <w:topLinePunct w:val="0"/>
              <w:bidi w:val="0"/>
              <w:spacing w:beforeAutospacing="0" w:after="0" w:afterAutospacing="0"/>
              <w:jc w:val="center"/>
              <w:rPr>
                <w:sz w:val="24"/>
                <w:szCs w:val="24"/>
              </w:rPr>
            </w:pPr>
            <w:r>
              <w:rPr>
                <w:rFonts w:hint="eastAsia" w:ascii="宋体" w:hAnsi="宋体"/>
                <w:sz w:val="24"/>
                <w:szCs w:val="24"/>
              </w:rPr>
              <w:t>传真</w:t>
            </w:r>
          </w:p>
        </w:tc>
        <w:tc>
          <w:tcPr>
            <w:tcW w:w="2885" w:type="dxa"/>
            <w:tcBorders>
              <w:top w:val="single" w:color="auto" w:sz="4" w:space="0"/>
              <w:left w:val="nil"/>
              <w:bottom w:val="single" w:color="auto" w:sz="4" w:space="0"/>
              <w:right w:val="single" w:color="auto" w:sz="4" w:space="0"/>
            </w:tcBorders>
            <w:noWrap/>
            <w:vAlign w:val="center"/>
          </w:tcPr>
          <w:p w14:paraId="6D946AE2">
            <w:pPr>
              <w:keepNext w:val="0"/>
              <w:keepLines w:val="0"/>
              <w:pageBreakBefore w:val="0"/>
              <w:kinsoku/>
              <w:overflowPunct/>
              <w:topLinePunct w:val="0"/>
              <w:bidi w:val="0"/>
              <w:spacing w:beforeAutospacing="0" w:after="0" w:afterAutospacing="0"/>
              <w:jc w:val="center"/>
              <w:rPr>
                <w:sz w:val="24"/>
                <w:szCs w:val="24"/>
              </w:rPr>
            </w:pPr>
          </w:p>
        </w:tc>
      </w:tr>
      <w:tr w14:paraId="6284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dxa"/>
            <w:vMerge w:val="restart"/>
            <w:tcBorders>
              <w:top w:val="nil"/>
              <w:left w:val="single" w:color="auto" w:sz="4" w:space="0"/>
              <w:bottom w:val="single" w:color="auto" w:sz="4" w:space="0"/>
              <w:right w:val="single" w:color="auto" w:sz="4" w:space="0"/>
            </w:tcBorders>
            <w:noWrap/>
            <w:vAlign w:val="center"/>
          </w:tcPr>
          <w:p w14:paraId="14278C9D">
            <w:pPr>
              <w:keepNext w:val="0"/>
              <w:keepLines w:val="0"/>
              <w:pageBreakBefore w:val="0"/>
              <w:kinsoku/>
              <w:overflowPunct/>
              <w:topLinePunct w:val="0"/>
              <w:bidi w:val="0"/>
              <w:spacing w:beforeAutospacing="0" w:after="0" w:afterAutospacing="0"/>
              <w:jc w:val="center"/>
              <w:rPr>
                <w:sz w:val="24"/>
                <w:szCs w:val="24"/>
              </w:rPr>
            </w:pPr>
            <w:r>
              <w:rPr>
                <w:rFonts w:hint="eastAsia" w:ascii="宋体" w:hAnsi="宋体"/>
                <w:sz w:val="24"/>
                <w:szCs w:val="24"/>
              </w:rPr>
              <w:t>对代理机构的评价</w:t>
            </w:r>
          </w:p>
        </w:tc>
        <w:tc>
          <w:tcPr>
            <w:tcW w:w="3234" w:type="dxa"/>
            <w:gridSpan w:val="3"/>
            <w:tcBorders>
              <w:top w:val="single" w:color="auto" w:sz="4" w:space="0"/>
              <w:left w:val="nil"/>
              <w:bottom w:val="single" w:color="auto" w:sz="4" w:space="0"/>
              <w:right w:val="single" w:color="auto" w:sz="4" w:space="0"/>
            </w:tcBorders>
            <w:noWrap/>
            <w:vAlign w:val="center"/>
          </w:tcPr>
          <w:p w14:paraId="2C692C04">
            <w:pPr>
              <w:keepNext w:val="0"/>
              <w:keepLines w:val="0"/>
              <w:pageBreakBefore w:val="0"/>
              <w:kinsoku/>
              <w:overflowPunct/>
              <w:topLinePunct w:val="0"/>
              <w:bidi w:val="0"/>
              <w:spacing w:beforeAutospacing="0" w:after="0" w:afterAutospacing="0" w:line="500" w:lineRule="exact"/>
              <w:jc w:val="center"/>
              <w:rPr>
                <w:sz w:val="24"/>
                <w:szCs w:val="24"/>
              </w:rPr>
            </w:pPr>
            <w:r>
              <w:rPr>
                <w:rFonts w:hint="eastAsia" w:ascii="宋体" w:hAnsi="宋体"/>
                <w:sz w:val="24"/>
                <w:szCs w:val="24"/>
              </w:rPr>
              <w:t>项目</w:t>
            </w:r>
          </w:p>
        </w:tc>
        <w:tc>
          <w:tcPr>
            <w:tcW w:w="4704" w:type="dxa"/>
            <w:gridSpan w:val="4"/>
            <w:tcBorders>
              <w:top w:val="single" w:color="auto" w:sz="4" w:space="0"/>
              <w:left w:val="nil"/>
              <w:bottom w:val="single" w:color="auto" w:sz="4" w:space="0"/>
              <w:right w:val="single" w:color="auto" w:sz="4" w:space="0"/>
            </w:tcBorders>
            <w:noWrap/>
            <w:vAlign w:val="center"/>
          </w:tcPr>
          <w:p w14:paraId="56179CF0">
            <w:pPr>
              <w:keepNext w:val="0"/>
              <w:keepLines w:val="0"/>
              <w:pageBreakBefore w:val="0"/>
              <w:kinsoku/>
              <w:overflowPunct/>
              <w:topLinePunct w:val="0"/>
              <w:bidi w:val="0"/>
              <w:spacing w:beforeAutospacing="0" w:after="0" w:afterAutospacing="0" w:line="500" w:lineRule="exact"/>
              <w:jc w:val="center"/>
              <w:rPr>
                <w:sz w:val="24"/>
                <w:szCs w:val="24"/>
              </w:rPr>
            </w:pPr>
            <w:r>
              <w:rPr>
                <w:rFonts w:hint="eastAsia" w:ascii="宋体" w:hAnsi="宋体"/>
                <w:sz w:val="24"/>
                <w:szCs w:val="24"/>
              </w:rPr>
              <w:t>评价（请在分值范围内进行打分）</w:t>
            </w:r>
          </w:p>
        </w:tc>
      </w:tr>
      <w:tr w14:paraId="15AA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dxa"/>
            <w:vMerge w:val="continue"/>
            <w:tcBorders>
              <w:top w:val="nil"/>
              <w:left w:val="single" w:color="auto" w:sz="4" w:space="0"/>
              <w:bottom w:val="single" w:color="auto" w:sz="4" w:space="0"/>
              <w:right w:val="single" w:color="auto" w:sz="4" w:space="0"/>
            </w:tcBorders>
            <w:noWrap/>
            <w:vAlign w:val="center"/>
          </w:tcPr>
          <w:p w14:paraId="4B40A8D7">
            <w:pPr>
              <w:keepNext w:val="0"/>
              <w:keepLines w:val="0"/>
              <w:pageBreakBefore w:val="0"/>
              <w:widowControl/>
              <w:kinsoku/>
              <w:overflowPunct/>
              <w:topLinePunct w:val="0"/>
              <w:bidi w:val="0"/>
              <w:spacing w:beforeAutospacing="0" w:after="0" w:afterAutospacing="0"/>
              <w:jc w:val="left"/>
              <w:rPr>
                <w:sz w:val="24"/>
                <w:szCs w:val="24"/>
              </w:rPr>
            </w:pPr>
          </w:p>
        </w:tc>
        <w:tc>
          <w:tcPr>
            <w:tcW w:w="3234" w:type="dxa"/>
            <w:gridSpan w:val="3"/>
            <w:tcBorders>
              <w:top w:val="single" w:color="auto" w:sz="4" w:space="0"/>
              <w:left w:val="nil"/>
              <w:bottom w:val="single" w:color="auto" w:sz="4" w:space="0"/>
              <w:right w:val="single" w:color="auto" w:sz="4" w:space="0"/>
            </w:tcBorders>
            <w:noWrap/>
            <w:vAlign w:val="center"/>
          </w:tcPr>
          <w:p w14:paraId="04FD6D21">
            <w:pPr>
              <w:keepNext w:val="0"/>
              <w:keepLines w:val="0"/>
              <w:pageBreakBefore w:val="0"/>
              <w:kinsoku/>
              <w:overflowPunct/>
              <w:topLinePunct w:val="0"/>
              <w:bidi w:val="0"/>
              <w:spacing w:beforeAutospacing="0" w:after="0" w:afterAutospacing="0"/>
              <w:rPr>
                <w:rFonts w:ascii="宋体" w:hAnsi="宋体"/>
                <w:kern w:val="0"/>
                <w:sz w:val="24"/>
                <w:szCs w:val="24"/>
              </w:rPr>
            </w:pPr>
            <w:r>
              <w:rPr>
                <w:rFonts w:hint="eastAsia" w:ascii="宋体" w:hAnsi="宋体"/>
                <w:sz w:val="24"/>
                <w:szCs w:val="24"/>
              </w:rPr>
              <w:t>是否严格执行政府采购纪律、法规和规章制度等（2分）。</w:t>
            </w:r>
          </w:p>
        </w:tc>
        <w:tc>
          <w:tcPr>
            <w:tcW w:w="4704" w:type="dxa"/>
            <w:gridSpan w:val="4"/>
            <w:tcBorders>
              <w:top w:val="single" w:color="auto" w:sz="4" w:space="0"/>
              <w:left w:val="nil"/>
              <w:bottom w:val="single" w:color="auto" w:sz="4" w:space="0"/>
              <w:right w:val="single" w:color="auto" w:sz="4" w:space="0"/>
            </w:tcBorders>
            <w:noWrap/>
            <w:vAlign w:val="center"/>
          </w:tcPr>
          <w:p w14:paraId="36BF3916">
            <w:pPr>
              <w:keepNext w:val="0"/>
              <w:keepLines w:val="0"/>
              <w:pageBreakBefore w:val="0"/>
              <w:kinsoku/>
              <w:overflowPunct/>
              <w:topLinePunct w:val="0"/>
              <w:bidi w:val="0"/>
              <w:spacing w:beforeAutospacing="0" w:after="0" w:afterAutospacing="0" w:line="500" w:lineRule="exact"/>
              <w:jc w:val="center"/>
              <w:rPr>
                <w:sz w:val="24"/>
                <w:szCs w:val="24"/>
              </w:rPr>
            </w:pPr>
          </w:p>
        </w:tc>
      </w:tr>
      <w:tr w14:paraId="69B4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dxa"/>
            <w:vMerge w:val="continue"/>
            <w:tcBorders>
              <w:top w:val="nil"/>
              <w:left w:val="single" w:color="auto" w:sz="4" w:space="0"/>
              <w:bottom w:val="single" w:color="auto" w:sz="4" w:space="0"/>
              <w:right w:val="single" w:color="auto" w:sz="4" w:space="0"/>
            </w:tcBorders>
            <w:noWrap/>
            <w:vAlign w:val="center"/>
          </w:tcPr>
          <w:p w14:paraId="4BAA35EB">
            <w:pPr>
              <w:keepNext w:val="0"/>
              <w:keepLines w:val="0"/>
              <w:pageBreakBefore w:val="0"/>
              <w:widowControl/>
              <w:kinsoku/>
              <w:overflowPunct/>
              <w:topLinePunct w:val="0"/>
              <w:bidi w:val="0"/>
              <w:spacing w:beforeAutospacing="0" w:after="0" w:afterAutospacing="0"/>
              <w:jc w:val="left"/>
              <w:rPr>
                <w:sz w:val="24"/>
                <w:szCs w:val="24"/>
              </w:rPr>
            </w:pPr>
          </w:p>
        </w:tc>
        <w:tc>
          <w:tcPr>
            <w:tcW w:w="3234" w:type="dxa"/>
            <w:gridSpan w:val="3"/>
            <w:tcBorders>
              <w:top w:val="single" w:color="auto" w:sz="4" w:space="0"/>
              <w:left w:val="nil"/>
              <w:bottom w:val="single" w:color="auto" w:sz="4" w:space="0"/>
              <w:right w:val="single" w:color="auto" w:sz="4" w:space="0"/>
            </w:tcBorders>
            <w:noWrap/>
            <w:vAlign w:val="center"/>
          </w:tcPr>
          <w:p w14:paraId="0FE9567D">
            <w:pPr>
              <w:keepNext w:val="0"/>
              <w:keepLines w:val="0"/>
              <w:pageBreakBefore w:val="0"/>
              <w:kinsoku/>
              <w:overflowPunct/>
              <w:topLinePunct w:val="0"/>
              <w:bidi w:val="0"/>
              <w:spacing w:beforeAutospacing="0" w:after="0" w:afterAutospacing="0"/>
              <w:rPr>
                <w:rFonts w:ascii="宋体" w:hAnsi="宋体"/>
                <w:kern w:val="0"/>
                <w:sz w:val="24"/>
                <w:szCs w:val="24"/>
              </w:rPr>
            </w:pPr>
            <w:r>
              <w:rPr>
                <w:rFonts w:hint="eastAsia" w:ascii="宋体" w:hAnsi="宋体"/>
                <w:sz w:val="24"/>
                <w:szCs w:val="24"/>
              </w:rPr>
              <w:t>操作程序是否规范，采购行为、过程、结果是否公开、公平、公正，采购组织管理是否规范严谨（2分）</w:t>
            </w:r>
            <w:r>
              <w:rPr>
                <w:rFonts w:hint="eastAsia" w:ascii="宋体" w:hAnsi="宋体"/>
                <w:kern w:val="0"/>
                <w:sz w:val="24"/>
                <w:szCs w:val="24"/>
              </w:rPr>
              <w:t>。</w:t>
            </w:r>
          </w:p>
        </w:tc>
        <w:tc>
          <w:tcPr>
            <w:tcW w:w="4704" w:type="dxa"/>
            <w:gridSpan w:val="4"/>
            <w:tcBorders>
              <w:top w:val="single" w:color="auto" w:sz="4" w:space="0"/>
              <w:left w:val="nil"/>
              <w:bottom w:val="single" w:color="auto" w:sz="4" w:space="0"/>
              <w:right w:val="single" w:color="auto" w:sz="4" w:space="0"/>
            </w:tcBorders>
            <w:noWrap/>
            <w:vAlign w:val="center"/>
          </w:tcPr>
          <w:p w14:paraId="2EFC4C0A">
            <w:pPr>
              <w:keepNext w:val="0"/>
              <w:keepLines w:val="0"/>
              <w:pageBreakBefore w:val="0"/>
              <w:kinsoku/>
              <w:overflowPunct/>
              <w:topLinePunct w:val="0"/>
              <w:bidi w:val="0"/>
              <w:spacing w:beforeAutospacing="0" w:after="0" w:afterAutospacing="0" w:line="500" w:lineRule="exact"/>
              <w:jc w:val="center"/>
              <w:rPr>
                <w:sz w:val="24"/>
                <w:szCs w:val="24"/>
              </w:rPr>
            </w:pPr>
          </w:p>
        </w:tc>
      </w:tr>
      <w:tr w14:paraId="066C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dxa"/>
            <w:vMerge w:val="continue"/>
            <w:tcBorders>
              <w:top w:val="nil"/>
              <w:left w:val="single" w:color="auto" w:sz="4" w:space="0"/>
              <w:bottom w:val="single" w:color="auto" w:sz="4" w:space="0"/>
              <w:right w:val="single" w:color="auto" w:sz="4" w:space="0"/>
            </w:tcBorders>
            <w:noWrap/>
            <w:vAlign w:val="center"/>
          </w:tcPr>
          <w:p w14:paraId="0C4F3440">
            <w:pPr>
              <w:keepNext w:val="0"/>
              <w:keepLines w:val="0"/>
              <w:pageBreakBefore w:val="0"/>
              <w:widowControl/>
              <w:kinsoku/>
              <w:overflowPunct/>
              <w:topLinePunct w:val="0"/>
              <w:bidi w:val="0"/>
              <w:spacing w:beforeAutospacing="0" w:after="0" w:afterAutospacing="0"/>
              <w:jc w:val="left"/>
              <w:rPr>
                <w:sz w:val="24"/>
                <w:szCs w:val="24"/>
              </w:rPr>
            </w:pPr>
          </w:p>
        </w:tc>
        <w:tc>
          <w:tcPr>
            <w:tcW w:w="3234" w:type="dxa"/>
            <w:gridSpan w:val="3"/>
            <w:tcBorders>
              <w:top w:val="single" w:color="auto" w:sz="4" w:space="0"/>
              <w:left w:val="nil"/>
              <w:bottom w:val="single" w:color="auto" w:sz="4" w:space="0"/>
              <w:right w:val="single" w:color="auto" w:sz="4" w:space="0"/>
            </w:tcBorders>
            <w:noWrap/>
            <w:vAlign w:val="center"/>
          </w:tcPr>
          <w:p w14:paraId="77F2192D">
            <w:pPr>
              <w:keepNext w:val="0"/>
              <w:keepLines w:val="0"/>
              <w:pageBreakBefore w:val="0"/>
              <w:kinsoku/>
              <w:overflowPunct/>
              <w:topLinePunct w:val="0"/>
              <w:bidi w:val="0"/>
              <w:spacing w:beforeAutospacing="0" w:after="0" w:afterAutospacing="0"/>
              <w:rPr>
                <w:rFonts w:ascii="宋体" w:hAnsi="宋体"/>
                <w:kern w:val="0"/>
                <w:sz w:val="24"/>
                <w:szCs w:val="24"/>
              </w:rPr>
            </w:pPr>
            <w:r>
              <w:rPr>
                <w:rFonts w:hint="eastAsia" w:ascii="宋体" w:hAnsi="宋体"/>
                <w:sz w:val="24"/>
                <w:szCs w:val="24"/>
              </w:rPr>
              <w:t>是否及时组织采购，是否有承诺办事时间并能限时办结（2分）</w:t>
            </w:r>
            <w:r>
              <w:rPr>
                <w:rFonts w:hint="eastAsia" w:ascii="宋体" w:hAnsi="宋体"/>
                <w:kern w:val="0"/>
                <w:sz w:val="24"/>
                <w:szCs w:val="24"/>
              </w:rPr>
              <w:t>。</w:t>
            </w:r>
          </w:p>
        </w:tc>
        <w:tc>
          <w:tcPr>
            <w:tcW w:w="4704" w:type="dxa"/>
            <w:gridSpan w:val="4"/>
            <w:tcBorders>
              <w:top w:val="single" w:color="auto" w:sz="4" w:space="0"/>
              <w:left w:val="nil"/>
              <w:bottom w:val="single" w:color="auto" w:sz="4" w:space="0"/>
              <w:right w:val="single" w:color="auto" w:sz="4" w:space="0"/>
            </w:tcBorders>
            <w:noWrap/>
            <w:vAlign w:val="center"/>
          </w:tcPr>
          <w:p w14:paraId="0DB5737E">
            <w:pPr>
              <w:keepNext w:val="0"/>
              <w:keepLines w:val="0"/>
              <w:pageBreakBefore w:val="0"/>
              <w:kinsoku/>
              <w:overflowPunct/>
              <w:topLinePunct w:val="0"/>
              <w:bidi w:val="0"/>
              <w:spacing w:beforeAutospacing="0" w:after="0" w:afterAutospacing="0" w:line="500" w:lineRule="exact"/>
              <w:jc w:val="center"/>
              <w:rPr>
                <w:sz w:val="24"/>
                <w:szCs w:val="24"/>
              </w:rPr>
            </w:pPr>
          </w:p>
        </w:tc>
      </w:tr>
      <w:tr w14:paraId="2547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dxa"/>
            <w:vMerge w:val="continue"/>
            <w:tcBorders>
              <w:top w:val="nil"/>
              <w:left w:val="single" w:color="auto" w:sz="4" w:space="0"/>
              <w:bottom w:val="single" w:color="auto" w:sz="4" w:space="0"/>
              <w:right w:val="single" w:color="auto" w:sz="4" w:space="0"/>
            </w:tcBorders>
            <w:noWrap/>
            <w:vAlign w:val="center"/>
          </w:tcPr>
          <w:p w14:paraId="5AD9F3B0">
            <w:pPr>
              <w:keepNext w:val="0"/>
              <w:keepLines w:val="0"/>
              <w:pageBreakBefore w:val="0"/>
              <w:widowControl/>
              <w:kinsoku/>
              <w:overflowPunct/>
              <w:topLinePunct w:val="0"/>
              <w:bidi w:val="0"/>
              <w:spacing w:beforeAutospacing="0" w:after="0" w:afterAutospacing="0"/>
              <w:jc w:val="left"/>
              <w:rPr>
                <w:sz w:val="24"/>
                <w:szCs w:val="24"/>
              </w:rPr>
            </w:pPr>
          </w:p>
        </w:tc>
        <w:tc>
          <w:tcPr>
            <w:tcW w:w="3234" w:type="dxa"/>
            <w:gridSpan w:val="3"/>
            <w:tcBorders>
              <w:top w:val="single" w:color="auto" w:sz="4" w:space="0"/>
              <w:left w:val="nil"/>
              <w:bottom w:val="single" w:color="auto" w:sz="4" w:space="0"/>
              <w:right w:val="single" w:color="auto" w:sz="4" w:space="0"/>
            </w:tcBorders>
            <w:noWrap/>
            <w:vAlign w:val="center"/>
          </w:tcPr>
          <w:p w14:paraId="51AE9702">
            <w:pPr>
              <w:keepNext w:val="0"/>
              <w:keepLines w:val="0"/>
              <w:pageBreakBefore w:val="0"/>
              <w:kinsoku/>
              <w:overflowPunct/>
              <w:topLinePunct w:val="0"/>
              <w:bidi w:val="0"/>
              <w:spacing w:beforeAutospacing="0" w:after="0" w:afterAutospacing="0"/>
              <w:rPr>
                <w:rFonts w:ascii="宋体" w:hAnsi="宋体"/>
                <w:sz w:val="24"/>
                <w:szCs w:val="24"/>
              </w:rPr>
            </w:pPr>
            <w:r>
              <w:rPr>
                <w:rFonts w:hint="eastAsia" w:ascii="宋体" w:hAnsi="宋体"/>
                <w:sz w:val="24"/>
                <w:szCs w:val="24"/>
              </w:rPr>
              <w:t>是否能积极</w:t>
            </w:r>
            <w:r>
              <w:rPr>
                <w:rFonts w:hint="eastAsia" w:ascii="宋体" w:hAnsi="宋体"/>
                <w:kern w:val="0"/>
                <w:sz w:val="24"/>
                <w:szCs w:val="24"/>
              </w:rPr>
              <w:t>主动</w:t>
            </w:r>
            <w:r>
              <w:rPr>
                <w:rFonts w:hint="eastAsia" w:ascii="宋体" w:hAnsi="宋体"/>
                <w:sz w:val="24"/>
                <w:szCs w:val="24"/>
              </w:rPr>
              <w:t>与当事人沟通</w:t>
            </w:r>
            <w:r>
              <w:rPr>
                <w:rFonts w:hint="eastAsia" w:ascii="宋体" w:hAnsi="宋体"/>
                <w:kern w:val="0"/>
                <w:sz w:val="24"/>
                <w:szCs w:val="24"/>
              </w:rPr>
              <w:t>对接；对采购政策进行详细解读；</w:t>
            </w:r>
            <w:r>
              <w:rPr>
                <w:rFonts w:hint="eastAsia" w:ascii="宋体" w:hAnsi="宋体"/>
                <w:sz w:val="24"/>
                <w:szCs w:val="24"/>
              </w:rPr>
              <w:t>咨询答复是否热情周到、耐心细致（2分）</w:t>
            </w:r>
            <w:r>
              <w:rPr>
                <w:rFonts w:hint="eastAsia" w:ascii="宋体" w:hAnsi="宋体"/>
                <w:kern w:val="0"/>
                <w:sz w:val="24"/>
                <w:szCs w:val="24"/>
              </w:rPr>
              <w:t>。</w:t>
            </w:r>
          </w:p>
        </w:tc>
        <w:tc>
          <w:tcPr>
            <w:tcW w:w="4704" w:type="dxa"/>
            <w:gridSpan w:val="4"/>
            <w:tcBorders>
              <w:top w:val="single" w:color="auto" w:sz="4" w:space="0"/>
              <w:left w:val="nil"/>
              <w:bottom w:val="single" w:color="auto" w:sz="4" w:space="0"/>
              <w:right w:val="single" w:color="auto" w:sz="4" w:space="0"/>
            </w:tcBorders>
            <w:noWrap/>
            <w:vAlign w:val="center"/>
          </w:tcPr>
          <w:p w14:paraId="44E4513B">
            <w:pPr>
              <w:keepNext w:val="0"/>
              <w:keepLines w:val="0"/>
              <w:pageBreakBefore w:val="0"/>
              <w:kinsoku/>
              <w:overflowPunct/>
              <w:topLinePunct w:val="0"/>
              <w:bidi w:val="0"/>
              <w:spacing w:beforeAutospacing="0" w:after="0" w:afterAutospacing="0" w:line="500" w:lineRule="exact"/>
              <w:jc w:val="center"/>
              <w:rPr>
                <w:sz w:val="24"/>
                <w:szCs w:val="24"/>
              </w:rPr>
            </w:pPr>
          </w:p>
        </w:tc>
      </w:tr>
      <w:tr w14:paraId="6C5A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dxa"/>
            <w:vMerge w:val="continue"/>
            <w:tcBorders>
              <w:top w:val="nil"/>
              <w:left w:val="single" w:color="auto" w:sz="4" w:space="0"/>
              <w:bottom w:val="single" w:color="auto" w:sz="4" w:space="0"/>
              <w:right w:val="single" w:color="auto" w:sz="4" w:space="0"/>
            </w:tcBorders>
            <w:noWrap/>
            <w:vAlign w:val="center"/>
          </w:tcPr>
          <w:p w14:paraId="07ADFF42">
            <w:pPr>
              <w:keepNext w:val="0"/>
              <w:keepLines w:val="0"/>
              <w:pageBreakBefore w:val="0"/>
              <w:widowControl/>
              <w:kinsoku/>
              <w:overflowPunct/>
              <w:topLinePunct w:val="0"/>
              <w:bidi w:val="0"/>
              <w:spacing w:beforeAutospacing="0" w:after="0" w:afterAutospacing="0"/>
              <w:jc w:val="left"/>
              <w:rPr>
                <w:sz w:val="24"/>
                <w:szCs w:val="24"/>
              </w:rPr>
            </w:pPr>
          </w:p>
        </w:tc>
        <w:tc>
          <w:tcPr>
            <w:tcW w:w="3234" w:type="dxa"/>
            <w:gridSpan w:val="3"/>
            <w:tcBorders>
              <w:top w:val="single" w:color="auto" w:sz="4" w:space="0"/>
              <w:left w:val="nil"/>
              <w:bottom w:val="single" w:color="auto" w:sz="4" w:space="0"/>
              <w:right w:val="single" w:color="auto" w:sz="4" w:space="0"/>
            </w:tcBorders>
            <w:noWrap/>
            <w:vAlign w:val="center"/>
          </w:tcPr>
          <w:p w14:paraId="76FD95FD">
            <w:pPr>
              <w:keepNext w:val="0"/>
              <w:keepLines w:val="0"/>
              <w:pageBreakBefore w:val="0"/>
              <w:kinsoku/>
              <w:overflowPunct/>
              <w:topLinePunct w:val="0"/>
              <w:bidi w:val="0"/>
              <w:spacing w:beforeAutospacing="0" w:after="0" w:afterAutospacing="0"/>
              <w:rPr>
                <w:rFonts w:ascii="宋体" w:hAnsi="宋体"/>
                <w:sz w:val="24"/>
                <w:szCs w:val="24"/>
              </w:rPr>
            </w:pPr>
            <w:r>
              <w:rPr>
                <w:rFonts w:hint="eastAsia" w:ascii="宋体" w:hAnsi="宋体"/>
                <w:sz w:val="24"/>
                <w:szCs w:val="24"/>
              </w:rPr>
              <w:t>采购的质量、服务是否满意（2分）。</w:t>
            </w:r>
          </w:p>
        </w:tc>
        <w:tc>
          <w:tcPr>
            <w:tcW w:w="4704" w:type="dxa"/>
            <w:gridSpan w:val="4"/>
            <w:tcBorders>
              <w:top w:val="single" w:color="auto" w:sz="4" w:space="0"/>
              <w:left w:val="nil"/>
              <w:bottom w:val="single" w:color="auto" w:sz="4" w:space="0"/>
              <w:right w:val="single" w:color="auto" w:sz="4" w:space="0"/>
            </w:tcBorders>
            <w:noWrap/>
            <w:vAlign w:val="center"/>
          </w:tcPr>
          <w:p w14:paraId="404D92CA">
            <w:pPr>
              <w:keepNext w:val="0"/>
              <w:keepLines w:val="0"/>
              <w:pageBreakBefore w:val="0"/>
              <w:kinsoku/>
              <w:overflowPunct/>
              <w:topLinePunct w:val="0"/>
              <w:bidi w:val="0"/>
              <w:spacing w:beforeAutospacing="0" w:after="0" w:afterAutospacing="0" w:line="500" w:lineRule="exact"/>
              <w:jc w:val="center"/>
              <w:rPr>
                <w:sz w:val="24"/>
                <w:szCs w:val="24"/>
              </w:rPr>
            </w:pPr>
          </w:p>
        </w:tc>
      </w:tr>
      <w:tr w14:paraId="242A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dxa"/>
            <w:vMerge w:val="continue"/>
            <w:tcBorders>
              <w:top w:val="nil"/>
              <w:left w:val="single" w:color="auto" w:sz="4" w:space="0"/>
              <w:bottom w:val="single" w:color="auto" w:sz="4" w:space="0"/>
              <w:right w:val="single" w:color="auto" w:sz="4" w:space="0"/>
            </w:tcBorders>
            <w:noWrap/>
            <w:vAlign w:val="center"/>
          </w:tcPr>
          <w:p w14:paraId="770D7DC5">
            <w:pPr>
              <w:keepNext w:val="0"/>
              <w:keepLines w:val="0"/>
              <w:pageBreakBefore w:val="0"/>
              <w:widowControl/>
              <w:kinsoku/>
              <w:overflowPunct/>
              <w:topLinePunct w:val="0"/>
              <w:bidi w:val="0"/>
              <w:spacing w:beforeAutospacing="0" w:after="0" w:afterAutospacing="0"/>
              <w:jc w:val="left"/>
              <w:rPr>
                <w:sz w:val="24"/>
                <w:szCs w:val="24"/>
              </w:rPr>
            </w:pPr>
          </w:p>
        </w:tc>
        <w:tc>
          <w:tcPr>
            <w:tcW w:w="3234" w:type="dxa"/>
            <w:gridSpan w:val="3"/>
            <w:tcBorders>
              <w:top w:val="single" w:color="auto" w:sz="4" w:space="0"/>
              <w:left w:val="nil"/>
              <w:bottom w:val="single" w:color="auto" w:sz="4" w:space="0"/>
              <w:right w:val="single" w:color="auto" w:sz="4" w:space="0"/>
            </w:tcBorders>
            <w:noWrap/>
            <w:vAlign w:val="center"/>
          </w:tcPr>
          <w:p w14:paraId="3FF7BD64">
            <w:pPr>
              <w:keepNext w:val="0"/>
              <w:keepLines w:val="0"/>
              <w:pageBreakBefore w:val="0"/>
              <w:kinsoku/>
              <w:overflowPunct/>
              <w:topLinePunct w:val="0"/>
              <w:bidi w:val="0"/>
              <w:spacing w:beforeAutospacing="0" w:after="0" w:afterAutospacing="0" w:line="500" w:lineRule="exact"/>
              <w:jc w:val="center"/>
              <w:rPr>
                <w:sz w:val="24"/>
                <w:szCs w:val="24"/>
              </w:rPr>
            </w:pPr>
            <w:r>
              <w:rPr>
                <w:rFonts w:hint="eastAsia" w:ascii="宋体" w:hAnsi="宋体"/>
                <w:sz w:val="24"/>
                <w:szCs w:val="24"/>
              </w:rPr>
              <w:t>合计</w:t>
            </w:r>
          </w:p>
        </w:tc>
        <w:tc>
          <w:tcPr>
            <w:tcW w:w="4704" w:type="dxa"/>
            <w:gridSpan w:val="4"/>
            <w:tcBorders>
              <w:top w:val="single" w:color="auto" w:sz="4" w:space="0"/>
              <w:left w:val="nil"/>
              <w:bottom w:val="single" w:color="auto" w:sz="4" w:space="0"/>
              <w:right w:val="single" w:color="auto" w:sz="4" w:space="0"/>
            </w:tcBorders>
            <w:noWrap/>
            <w:vAlign w:val="center"/>
          </w:tcPr>
          <w:p w14:paraId="41012B9C">
            <w:pPr>
              <w:keepNext w:val="0"/>
              <w:keepLines w:val="0"/>
              <w:pageBreakBefore w:val="0"/>
              <w:kinsoku/>
              <w:overflowPunct/>
              <w:topLinePunct w:val="0"/>
              <w:bidi w:val="0"/>
              <w:spacing w:beforeAutospacing="0" w:after="0" w:afterAutospacing="0" w:line="500" w:lineRule="exact"/>
              <w:jc w:val="center"/>
              <w:rPr>
                <w:sz w:val="24"/>
                <w:szCs w:val="24"/>
              </w:rPr>
            </w:pPr>
          </w:p>
        </w:tc>
      </w:tr>
      <w:tr w14:paraId="426A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1242" w:type="dxa"/>
            <w:tcBorders>
              <w:top w:val="single" w:color="auto" w:sz="4" w:space="0"/>
              <w:left w:val="single" w:color="auto" w:sz="4" w:space="0"/>
              <w:bottom w:val="single" w:color="auto" w:sz="4" w:space="0"/>
              <w:right w:val="single" w:color="auto" w:sz="4" w:space="0"/>
            </w:tcBorders>
            <w:noWrap/>
            <w:vAlign w:val="center"/>
          </w:tcPr>
          <w:p w14:paraId="6F626C3C">
            <w:pPr>
              <w:keepNext w:val="0"/>
              <w:keepLines w:val="0"/>
              <w:pageBreakBefore w:val="0"/>
              <w:kinsoku/>
              <w:overflowPunct/>
              <w:topLinePunct w:val="0"/>
              <w:bidi w:val="0"/>
              <w:spacing w:beforeAutospacing="0" w:after="0" w:afterAutospacing="0"/>
              <w:jc w:val="center"/>
              <w:rPr>
                <w:sz w:val="24"/>
                <w:szCs w:val="24"/>
              </w:rPr>
            </w:pPr>
            <w:r>
              <w:rPr>
                <w:rFonts w:hint="eastAsia" w:ascii="宋体" w:hAnsi="宋体"/>
                <w:sz w:val="24"/>
                <w:szCs w:val="24"/>
              </w:rPr>
              <w:t>对代理机构的意见和建议</w:t>
            </w:r>
          </w:p>
        </w:tc>
        <w:tc>
          <w:tcPr>
            <w:tcW w:w="7938" w:type="dxa"/>
            <w:gridSpan w:val="7"/>
            <w:tcBorders>
              <w:top w:val="single" w:color="auto" w:sz="4" w:space="0"/>
              <w:left w:val="nil"/>
              <w:bottom w:val="single" w:color="auto" w:sz="4" w:space="0"/>
              <w:right w:val="single" w:color="auto" w:sz="4" w:space="0"/>
            </w:tcBorders>
            <w:noWrap/>
            <w:vAlign w:val="center"/>
          </w:tcPr>
          <w:p w14:paraId="710D7477">
            <w:pPr>
              <w:keepNext w:val="0"/>
              <w:keepLines w:val="0"/>
              <w:pageBreakBefore w:val="0"/>
              <w:kinsoku/>
              <w:overflowPunct/>
              <w:topLinePunct w:val="0"/>
              <w:bidi w:val="0"/>
              <w:spacing w:beforeAutospacing="0" w:after="0" w:afterAutospacing="0"/>
              <w:jc w:val="center"/>
              <w:rPr>
                <w:sz w:val="24"/>
                <w:szCs w:val="24"/>
              </w:rPr>
            </w:pPr>
          </w:p>
        </w:tc>
      </w:tr>
      <w:tr w14:paraId="54E3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1242" w:type="dxa"/>
            <w:tcBorders>
              <w:top w:val="single" w:color="auto" w:sz="4" w:space="0"/>
              <w:left w:val="single" w:color="auto" w:sz="4" w:space="0"/>
              <w:bottom w:val="single" w:color="auto" w:sz="4" w:space="0"/>
              <w:right w:val="single" w:color="auto" w:sz="4" w:space="0"/>
            </w:tcBorders>
            <w:noWrap/>
            <w:vAlign w:val="center"/>
          </w:tcPr>
          <w:p w14:paraId="55AC9154">
            <w:pPr>
              <w:keepNext w:val="0"/>
              <w:keepLines w:val="0"/>
              <w:pageBreakBefore w:val="0"/>
              <w:kinsoku/>
              <w:overflowPunct/>
              <w:topLinePunct w:val="0"/>
              <w:bidi w:val="0"/>
              <w:spacing w:beforeAutospacing="0" w:after="0" w:afterAutospacing="0"/>
              <w:jc w:val="center"/>
              <w:rPr>
                <w:sz w:val="24"/>
                <w:szCs w:val="24"/>
              </w:rPr>
            </w:pPr>
            <w:r>
              <w:rPr>
                <w:rFonts w:hint="eastAsia" w:ascii="宋体" w:hAnsi="宋体"/>
                <w:sz w:val="24"/>
                <w:szCs w:val="24"/>
              </w:rPr>
              <w:t>备注</w:t>
            </w:r>
          </w:p>
        </w:tc>
        <w:tc>
          <w:tcPr>
            <w:tcW w:w="7938" w:type="dxa"/>
            <w:gridSpan w:val="7"/>
            <w:tcBorders>
              <w:top w:val="single" w:color="auto" w:sz="4" w:space="0"/>
              <w:left w:val="nil"/>
              <w:bottom w:val="single" w:color="auto" w:sz="4" w:space="0"/>
              <w:right w:val="single" w:color="auto" w:sz="4" w:space="0"/>
            </w:tcBorders>
            <w:noWrap/>
            <w:vAlign w:val="center"/>
          </w:tcPr>
          <w:p w14:paraId="2D986084">
            <w:pPr>
              <w:keepNext w:val="0"/>
              <w:keepLines w:val="0"/>
              <w:pageBreakBefore w:val="0"/>
              <w:kinsoku/>
              <w:overflowPunct/>
              <w:topLinePunct w:val="0"/>
              <w:bidi w:val="0"/>
              <w:spacing w:beforeAutospacing="0" w:after="0" w:afterAutospacing="0"/>
              <w:jc w:val="center"/>
              <w:rPr>
                <w:sz w:val="24"/>
                <w:szCs w:val="24"/>
              </w:rPr>
            </w:pPr>
          </w:p>
        </w:tc>
      </w:tr>
    </w:tbl>
    <w:p w14:paraId="01EB2FB3">
      <w:pPr>
        <w:keepNext w:val="0"/>
        <w:keepLines w:val="0"/>
        <w:pageBreakBefore w:val="0"/>
        <w:kinsoku/>
        <w:overflowPunct/>
        <w:topLinePunct w:val="0"/>
        <w:bidi w:val="0"/>
        <w:spacing w:beforeAutospacing="0" w:after="0" w:afterAutospacing="0" w:line="500" w:lineRule="exact"/>
        <w:rPr>
          <w:sz w:val="24"/>
          <w:szCs w:val="24"/>
        </w:rPr>
      </w:pPr>
      <w:r>
        <w:rPr>
          <w:rFonts w:hint="eastAsia" w:ascii="宋体" w:hAnsi="宋体"/>
          <w:sz w:val="24"/>
          <w:szCs w:val="24"/>
        </w:rPr>
        <w:t>填表人签字盖章：日期</w:t>
      </w:r>
    </w:p>
    <w:p w14:paraId="151FA4C5">
      <w:pPr>
        <w:keepNext w:val="0"/>
        <w:keepLines w:val="0"/>
        <w:pageBreakBefore w:val="0"/>
        <w:kinsoku/>
        <w:overflowPunct/>
        <w:topLinePunct w:val="0"/>
        <w:bidi w:val="0"/>
        <w:spacing w:beforeAutospacing="0" w:after="0" w:afterAutospacing="0"/>
        <w:ind w:right="-154" w:firstLine="4760" w:firstLineChars="1700"/>
        <w:rPr>
          <w:rFonts w:ascii="宋体" w:hAnsi="宋体"/>
          <w:sz w:val="28"/>
          <w:szCs w:val="28"/>
        </w:rPr>
      </w:pPr>
      <w:r>
        <w:rPr>
          <w:rFonts w:hint="eastAsia" w:ascii="宋体" w:hAnsi="宋体"/>
          <w:sz w:val="28"/>
          <w:szCs w:val="28"/>
        </w:rPr>
        <w:t>注：此表须盖投标单位公章</w:t>
      </w:r>
    </w:p>
    <w:bookmarkEnd w:id="20"/>
    <w:p w14:paraId="6E2E588B">
      <w:pPr>
        <w:keepNext w:val="0"/>
        <w:keepLines w:val="0"/>
        <w:pageBreakBefore w:val="0"/>
        <w:kinsoku/>
        <w:overflowPunct/>
        <w:topLinePunct w:val="0"/>
        <w:bidi w:val="0"/>
        <w:spacing w:beforeAutospacing="0" w:after="0" w:afterAutospacing="0" w:line="360" w:lineRule="auto"/>
        <w:jc w:val="left"/>
        <w:outlineLvl w:val="1"/>
        <w:rPr>
          <w:rFonts w:ascii="宋体"/>
          <w:b/>
          <w:bCs/>
          <w:color w:val="0D0D0D"/>
          <w:sz w:val="24"/>
          <w:szCs w:val="24"/>
        </w:rPr>
      </w:pPr>
      <w:r>
        <w:rPr>
          <w:rFonts w:ascii="宋体" w:hAnsi="宋体" w:cs="宋体"/>
          <w:b/>
          <w:bCs/>
          <w:color w:val="0D0D0D"/>
          <w:sz w:val="24"/>
          <w:szCs w:val="24"/>
        </w:rPr>
        <w:t>3</w:t>
      </w:r>
      <w:r>
        <w:rPr>
          <w:rFonts w:ascii="宋体" w:cs="宋体"/>
          <w:b/>
          <w:bCs/>
          <w:color w:val="0D0D0D"/>
          <w:sz w:val="24"/>
          <w:szCs w:val="24"/>
        </w:rPr>
        <w:t>.</w:t>
      </w:r>
      <w:r>
        <w:rPr>
          <w:rFonts w:hint="eastAsia" w:ascii="宋体" w:hAnsi="宋体" w:cs="宋体"/>
          <w:b/>
          <w:bCs/>
          <w:color w:val="0D0D0D"/>
          <w:sz w:val="24"/>
          <w:szCs w:val="24"/>
        </w:rPr>
        <w:t>报价文件目录</w:t>
      </w:r>
    </w:p>
    <w:p w14:paraId="4730A62C">
      <w:pPr>
        <w:keepNext w:val="0"/>
        <w:keepLines w:val="0"/>
        <w:pageBreakBefore w:val="0"/>
        <w:kinsoku/>
        <w:overflowPunct/>
        <w:topLinePunct w:val="0"/>
        <w:bidi w:val="0"/>
        <w:spacing w:beforeAutospacing="0" w:after="0" w:afterAutospacing="0" w:line="360" w:lineRule="auto"/>
        <w:ind w:firstLine="480" w:firstLineChars="200"/>
        <w:jc w:val="left"/>
        <w:rPr>
          <w:rFonts w:ascii="宋体"/>
          <w:color w:val="0D0D0D"/>
          <w:sz w:val="24"/>
          <w:szCs w:val="24"/>
        </w:rPr>
      </w:pPr>
      <w:r>
        <w:rPr>
          <w:rFonts w:hint="eastAsia" w:ascii="宋体" w:hAnsi="宋体" w:cs="宋体"/>
          <w:color w:val="0D0D0D"/>
          <w:sz w:val="24"/>
          <w:szCs w:val="24"/>
        </w:rPr>
        <w:t>（</w:t>
      </w:r>
      <w:r>
        <w:rPr>
          <w:rFonts w:ascii="宋体" w:hAnsi="宋体" w:cs="宋体"/>
          <w:color w:val="0D0D0D"/>
          <w:sz w:val="24"/>
          <w:szCs w:val="24"/>
        </w:rPr>
        <w:t>1</w:t>
      </w:r>
      <w:r>
        <w:rPr>
          <w:rFonts w:hint="eastAsia" w:ascii="宋体" w:hAnsi="宋体" w:cs="宋体"/>
          <w:color w:val="0D0D0D"/>
          <w:sz w:val="24"/>
          <w:szCs w:val="24"/>
        </w:rPr>
        <w:t>）投标函（格式见附件</w:t>
      </w:r>
      <w:r>
        <w:rPr>
          <w:rFonts w:ascii="宋体" w:hAnsi="宋体" w:cs="宋体"/>
          <w:color w:val="0D0D0D"/>
          <w:sz w:val="24"/>
          <w:szCs w:val="24"/>
        </w:rPr>
        <w:t>3.1</w:t>
      </w:r>
      <w:r>
        <w:rPr>
          <w:rFonts w:hint="eastAsia" w:ascii="宋体" w:hAnsi="宋体" w:cs="宋体"/>
          <w:color w:val="0D0D0D"/>
          <w:sz w:val="24"/>
          <w:szCs w:val="24"/>
        </w:rPr>
        <w:t>）；</w:t>
      </w:r>
    </w:p>
    <w:p w14:paraId="4F187A58">
      <w:pPr>
        <w:keepNext w:val="0"/>
        <w:keepLines w:val="0"/>
        <w:pageBreakBefore w:val="0"/>
        <w:kinsoku/>
        <w:overflowPunct/>
        <w:topLinePunct w:val="0"/>
        <w:bidi w:val="0"/>
        <w:spacing w:beforeAutospacing="0" w:after="0" w:afterAutospacing="0" w:line="360" w:lineRule="auto"/>
        <w:ind w:firstLine="480" w:firstLineChars="200"/>
        <w:jc w:val="left"/>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）开标一览表（格式见附件</w:t>
      </w:r>
      <w:r>
        <w:rPr>
          <w:rFonts w:ascii="宋体" w:hAnsi="宋体" w:cs="宋体"/>
          <w:sz w:val="24"/>
          <w:szCs w:val="24"/>
        </w:rPr>
        <w:t>3.2</w:t>
      </w:r>
      <w:r>
        <w:rPr>
          <w:rFonts w:hint="eastAsia" w:ascii="宋体" w:hAnsi="宋体" w:cs="宋体"/>
          <w:sz w:val="24"/>
          <w:szCs w:val="24"/>
        </w:rPr>
        <w:t>）；</w:t>
      </w:r>
    </w:p>
    <w:p w14:paraId="1D925E30">
      <w:pPr>
        <w:keepNext w:val="0"/>
        <w:keepLines w:val="0"/>
        <w:pageBreakBefore w:val="0"/>
        <w:kinsoku/>
        <w:overflowPunct/>
        <w:topLinePunct w:val="0"/>
        <w:bidi w:val="0"/>
        <w:spacing w:beforeAutospacing="0" w:after="0" w:afterAutospacing="0" w:line="360" w:lineRule="auto"/>
        <w:ind w:firstLine="480" w:firstLineChars="200"/>
        <w:jc w:val="left"/>
        <w:rPr>
          <w:rFonts w:ascii="宋体"/>
          <w:color w:val="0D0D0D"/>
          <w:sz w:val="24"/>
          <w:szCs w:val="24"/>
        </w:rPr>
      </w:pPr>
      <w:r>
        <w:rPr>
          <w:rFonts w:hint="eastAsia" w:ascii="宋体" w:hAnsi="宋体" w:cs="宋体"/>
          <w:color w:val="0D0D0D"/>
          <w:sz w:val="24"/>
          <w:szCs w:val="24"/>
        </w:rPr>
        <w:t>（</w:t>
      </w:r>
      <w:r>
        <w:rPr>
          <w:rFonts w:ascii="宋体" w:hAnsi="宋体" w:cs="宋体"/>
          <w:color w:val="0D0D0D"/>
          <w:sz w:val="24"/>
          <w:szCs w:val="24"/>
        </w:rPr>
        <w:t>3</w:t>
      </w:r>
      <w:r>
        <w:rPr>
          <w:rFonts w:hint="eastAsia" w:ascii="宋体" w:hAnsi="宋体" w:cs="宋体"/>
          <w:color w:val="0D0D0D"/>
          <w:sz w:val="24"/>
          <w:szCs w:val="24"/>
        </w:rPr>
        <w:t>）投标人针对报价需要说明的其他文件和说明。（如有）</w:t>
      </w:r>
    </w:p>
    <w:p w14:paraId="4F98F312">
      <w:pPr>
        <w:keepNext w:val="0"/>
        <w:keepLines w:val="0"/>
        <w:pageBreakBefore w:val="0"/>
        <w:kinsoku/>
        <w:overflowPunct/>
        <w:topLinePunct w:val="0"/>
        <w:bidi w:val="0"/>
        <w:spacing w:beforeAutospacing="0" w:after="0" w:afterAutospacing="0"/>
      </w:pPr>
    </w:p>
    <w:p w14:paraId="0E1D396A">
      <w:pPr>
        <w:keepNext w:val="0"/>
        <w:keepLines w:val="0"/>
        <w:pageBreakBefore w:val="0"/>
        <w:kinsoku/>
        <w:overflowPunct/>
        <w:topLinePunct w:val="0"/>
        <w:bidi w:val="0"/>
        <w:spacing w:beforeAutospacing="0" w:after="0" w:afterAutospacing="0"/>
      </w:pPr>
    </w:p>
    <w:p w14:paraId="4315D35A">
      <w:pPr>
        <w:keepNext w:val="0"/>
        <w:keepLines w:val="0"/>
        <w:pageBreakBefore w:val="0"/>
        <w:kinsoku/>
        <w:overflowPunct/>
        <w:topLinePunct w:val="0"/>
        <w:bidi w:val="0"/>
        <w:spacing w:beforeAutospacing="0" w:after="0" w:afterAutospacing="0"/>
      </w:pPr>
    </w:p>
    <w:p w14:paraId="5A94F1E9">
      <w:pPr>
        <w:keepNext w:val="0"/>
        <w:keepLines w:val="0"/>
        <w:pageBreakBefore w:val="0"/>
        <w:kinsoku/>
        <w:overflowPunct/>
        <w:topLinePunct w:val="0"/>
        <w:bidi w:val="0"/>
        <w:spacing w:beforeAutospacing="0" w:after="0" w:afterAutospacing="0"/>
      </w:pPr>
    </w:p>
    <w:p w14:paraId="27C27C59">
      <w:pPr>
        <w:keepNext w:val="0"/>
        <w:keepLines w:val="0"/>
        <w:pageBreakBefore w:val="0"/>
        <w:kinsoku/>
        <w:overflowPunct/>
        <w:topLinePunct w:val="0"/>
        <w:bidi w:val="0"/>
        <w:spacing w:beforeAutospacing="0" w:after="0" w:afterAutospacing="0"/>
      </w:pPr>
    </w:p>
    <w:p w14:paraId="6EFF5C60">
      <w:pPr>
        <w:keepNext w:val="0"/>
        <w:keepLines w:val="0"/>
        <w:pageBreakBefore w:val="0"/>
        <w:kinsoku/>
        <w:overflowPunct/>
        <w:topLinePunct w:val="0"/>
        <w:bidi w:val="0"/>
        <w:spacing w:beforeAutospacing="0" w:after="0" w:afterAutospacing="0"/>
      </w:pPr>
    </w:p>
    <w:p w14:paraId="4F40C968">
      <w:pPr>
        <w:keepNext w:val="0"/>
        <w:keepLines w:val="0"/>
        <w:pageBreakBefore w:val="0"/>
        <w:kinsoku/>
        <w:overflowPunct/>
        <w:topLinePunct w:val="0"/>
        <w:bidi w:val="0"/>
        <w:spacing w:beforeAutospacing="0" w:after="0" w:afterAutospacing="0"/>
      </w:pPr>
    </w:p>
    <w:p w14:paraId="2CD56E82">
      <w:pPr>
        <w:keepNext w:val="0"/>
        <w:keepLines w:val="0"/>
        <w:pageBreakBefore w:val="0"/>
        <w:kinsoku/>
        <w:overflowPunct/>
        <w:topLinePunct w:val="0"/>
        <w:bidi w:val="0"/>
        <w:spacing w:beforeAutospacing="0" w:after="0" w:afterAutospacing="0"/>
      </w:pPr>
    </w:p>
    <w:p w14:paraId="2FED1B3C">
      <w:pPr>
        <w:keepNext w:val="0"/>
        <w:keepLines w:val="0"/>
        <w:pageBreakBefore w:val="0"/>
        <w:kinsoku/>
        <w:overflowPunct/>
        <w:topLinePunct w:val="0"/>
        <w:bidi w:val="0"/>
        <w:spacing w:beforeAutospacing="0" w:after="0" w:afterAutospacing="0"/>
      </w:pPr>
    </w:p>
    <w:p w14:paraId="3224D59C">
      <w:pPr>
        <w:keepNext w:val="0"/>
        <w:keepLines w:val="0"/>
        <w:pageBreakBefore w:val="0"/>
        <w:kinsoku/>
        <w:overflowPunct/>
        <w:topLinePunct w:val="0"/>
        <w:bidi w:val="0"/>
        <w:spacing w:beforeAutospacing="0" w:after="0" w:afterAutospacing="0"/>
      </w:pPr>
    </w:p>
    <w:p w14:paraId="17459729">
      <w:pPr>
        <w:keepNext w:val="0"/>
        <w:keepLines w:val="0"/>
        <w:pageBreakBefore w:val="0"/>
        <w:kinsoku/>
        <w:overflowPunct/>
        <w:topLinePunct w:val="0"/>
        <w:bidi w:val="0"/>
        <w:spacing w:beforeAutospacing="0" w:after="0" w:afterAutospacing="0"/>
      </w:pPr>
    </w:p>
    <w:p w14:paraId="5DAEA2DC">
      <w:pPr>
        <w:keepNext w:val="0"/>
        <w:keepLines w:val="0"/>
        <w:pageBreakBefore w:val="0"/>
        <w:kinsoku/>
        <w:overflowPunct/>
        <w:topLinePunct w:val="0"/>
        <w:bidi w:val="0"/>
        <w:spacing w:beforeAutospacing="0" w:after="0" w:afterAutospacing="0"/>
      </w:pPr>
    </w:p>
    <w:p w14:paraId="084D8245">
      <w:pPr>
        <w:keepNext w:val="0"/>
        <w:keepLines w:val="0"/>
        <w:pageBreakBefore w:val="0"/>
        <w:kinsoku/>
        <w:overflowPunct/>
        <w:topLinePunct w:val="0"/>
        <w:bidi w:val="0"/>
        <w:spacing w:beforeAutospacing="0" w:after="0" w:afterAutospacing="0"/>
      </w:pPr>
    </w:p>
    <w:p w14:paraId="6C850462">
      <w:pPr>
        <w:keepNext w:val="0"/>
        <w:keepLines w:val="0"/>
        <w:pageBreakBefore w:val="0"/>
        <w:kinsoku/>
        <w:overflowPunct/>
        <w:topLinePunct w:val="0"/>
        <w:bidi w:val="0"/>
        <w:spacing w:beforeAutospacing="0" w:after="0" w:afterAutospacing="0"/>
      </w:pPr>
    </w:p>
    <w:p w14:paraId="75D5A00B">
      <w:pPr>
        <w:keepNext w:val="0"/>
        <w:keepLines w:val="0"/>
        <w:pageBreakBefore w:val="0"/>
        <w:kinsoku/>
        <w:overflowPunct/>
        <w:topLinePunct w:val="0"/>
        <w:bidi w:val="0"/>
        <w:spacing w:beforeAutospacing="0" w:after="0" w:afterAutospacing="0"/>
      </w:pPr>
    </w:p>
    <w:p w14:paraId="39653DD2">
      <w:pPr>
        <w:keepNext w:val="0"/>
        <w:keepLines w:val="0"/>
        <w:pageBreakBefore w:val="0"/>
        <w:kinsoku/>
        <w:overflowPunct/>
        <w:topLinePunct w:val="0"/>
        <w:bidi w:val="0"/>
        <w:spacing w:beforeAutospacing="0" w:after="0" w:afterAutospacing="0"/>
      </w:pPr>
    </w:p>
    <w:p w14:paraId="4099D054">
      <w:pPr>
        <w:keepNext w:val="0"/>
        <w:keepLines w:val="0"/>
        <w:pageBreakBefore w:val="0"/>
        <w:kinsoku/>
        <w:overflowPunct/>
        <w:topLinePunct w:val="0"/>
        <w:bidi w:val="0"/>
        <w:spacing w:beforeAutospacing="0" w:after="0" w:afterAutospacing="0"/>
      </w:pPr>
    </w:p>
    <w:p w14:paraId="41476285">
      <w:pPr>
        <w:keepNext w:val="0"/>
        <w:keepLines w:val="0"/>
        <w:pageBreakBefore w:val="0"/>
        <w:kinsoku/>
        <w:overflowPunct/>
        <w:topLinePunct w:val="0"/>
        <w:bidi w:val="0"/>
        <w:spacing w:beforeAutospacing="0" w:after="0" w:afterAutospacing="0"/>
      </w:pPr>
    </w:p>
    <w:p w14:paraId="17E53D87">
      <w:pPr>
        <w:keepNext w:val="0"/>
        <w:keepLines w:val="0"/>
        <w:pageBreakBefore w:val="0"/>
        <w:kinsoku/>
        <w:overflowPunct/>
        <w:topLinePunct w:val="0"/>
        <w:bidi w:val="0"/>
        <w:spacing w:beforeAutospacing="0" w:after="0" w:afterAutospacing="0"/>
        <w:jc w:val="left"/>
        <w:rPr>
          <w:rFonts w:ascii="宋体"/>
          <w:b/>
          <w:bCs/>
          <w:color w:val="0D0D0D"/>
          <w:sz w:val="24"/>
          <w:szCs w:val="24"/>
        </w:rPr>
      </w:pPr>
      <w:r>
        <w:rPr>
          <w:rFonts w:ascii="宋体"/>
          <w:b/>
          <w:bCs/>
          <w:color w:val="0D0D0D"/>
          <w:sz w:val="24"/>
          <w:szCs w:val="24"/>
        </w:rPr>
        <w:br w:type="page"/>
      </w:r>
    </w:p>
    <w:p w14:paraId="104DEBD0">
      <w:pPr>
        <w:keepNext w:val="0"/>
        <w:keepLines w:val="0"/>
        <w:pageBreakBefore w:val="0"/>
        <w:kinsoku/>
        <w:overflowPunct/>
        <w:topLinePunct w:val="0"/>
        <w:bidi w:val="0"/>
        <w:spacing w:beforeAutospacing="0" w:after="0" w:afterAutospacing="0" w:line="360" w:lineRule="auto"/>
        <w:jc w:val="left"/>
        <w:outlineLvl w:val="1"/>
        <w:rPr>
          <w:rFonts w:ascii="宋体" w:hAnsi="宋体" w:cs="宋体"/>
          <w:b/>
          <w:bCs/>
          <w:color w:val="0D0D0D"/>
          <w:sz w:val="24"/>
          <w:szCs w:val="24"/>
        </w:rPr>
      </w:pPr>
      <w:r>
        <w:rPr>
          <w:rFonts w:ascii="宋体" w:hAnsi="宋体" w:cs="宋体"/>
          <w:b/>
          <w:bCs/>
          <w:color w:val="0D0D0D"/>
          <w:sz w:val="24"/>
          <w:szCs w:val="24"/>
        </w:rPr>
        <w:t>3.1</w:t>
      </w:r>
      <w:r>
        <w:rPr>
          <w:rFonts w:hint="eastAsia" w:ascii="宋体" w:hAnsi="宋体" w:cs="宋体"/>
          <w:b/>
          <w:bCs/>
          <w:color w:val="0D0D0D"/>
          <w:sz w:val="24"/>
          <w:szCs w:val="24"/>
        </w:rPr>
        <w:t>投标函格式：</w:t>
      </w:r>
    </w:p>
    <w:p w14:paraId="725B78F2">
      <w:pPr>
        <w:keepNext w:val="0"/>
        <w:keepLines w:val="0"/>
        <w:pageBreakBefore w:val="0"/>
        <w:kinsoku/>
        <w:overflowPunct/>
        <w:topLinePunct w:val="0"/>
        <w:bidi w:val="0"/>
        <w:snapToGrid w:val="0"/>
        <w:spacing w:beforeAutospacing="0" w:after="0" w:afterAutospacing="0" w:line="360" w:lineRule="auto"/>
        <w:ind w:firstLine="3518" w:firstLineChars="1460"/>
        <w:jc w:val="left"/>
        <w:outlineLvl w:val="2"/>
        <w:rPr>
          <w:rFonts w:ascii="宋体"/>
          <w:b/>
          <w:bCs/>
          <w:color w:val="0D0D0D"/>
          <w:sz w:val="24"/>
          <w:szCs w:val="24"/>
        </w:rPr>
      </w:pPr>
      <w:r>
        <w:rPr>
          <w:rFonts w:hint="eastAsia" w:ascii="宋体" w:hAnsi="宋体" w:cs="宋体"/>
          <w:b/>
          <w:bCs/>
          <w:color w:val="0D0D0D"/>
          <w:sz w:val="24"/>
          <w:szCs w:val="24"/>
        </w:rPr>
        <w:t>投标函</w:t>
      </w:r>
    </w:p>
    <w:p w14:paraId="5F8C2C73">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致：</w:t>
      </w:r>
      <w:r>
        <w:rPr>
          <w:rFonts w:ascii="宋体" w:hAnsi="宋体" w:cs="宋体"/>
          <w:color w:val="0D0D0D"/>
          <w:sz w:val="24"/>
          <w:szCs w:val="24"/>
          <w:u w:val="single"/>
        </w:rPr>
        <w:t>_</w:t>
      </w:r>
      <w:r>
        <w:rPr>
          <w:rFonts w:hint="eastAsia" w:ascii="宋体" w:hAnsi="宋体" w:cs="宋体"/>
          <w:color w:val="0D0D0D"/>
          <w:sz w:val="24"/>
          <w:szCs w:val="24"/>
          <w:u w:val="single"/>
        </w:rPr>
        <w:t>金华市金诚招投标代理有限公司</w:t>
      </w:r>
      <w:r>
        <w:rPr>
          <w:rFonts w:ascii="宋体" w:hAnsi="宋体" w:cs="宋体"/>
          <w:color w:val="0D0D0D"/>
          <w:sz w:val="24"/>
          <w:szCs w:val="24"/>
          <w:u w:val="single"/>
        </w:rPr>
        <w:t>_</w:t>
      </w:r>
      <w:r>
        <w:rPr>
          <w:rFonts w:hint="eastAsia" w:ascii="宋体" w:hAnsi="宋体" w:cs="宋体"/>
          <w:color w:val="0D0D0D"/>
          <w:sz w:val="24"/>
          <w:szCs w:val="24"/>
        </w:rPr>
        <w:t>：</w:t>
      </w:r>
    </w:p>
    <w:p w14:paraId="2FE29461">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rPr>
      </w:pPr>
      <w:r>
        <w:rPr>
          <w:rFonts w:hint="eastAsia" w:ascii="宋体" w:hAnsi="宋体" w:cs="宋体"/>
          <w:color w:val="0D0D0D"/>
          <w:sz w:val="24"/>
          <w:szCs w:val="24"/>
        </w:rPr>
        <w:t>根据贵方为</w:t>
      </w:r>
      <w:r>
        <w:rPr>
          <w:rFonts w:hint="eastAsia" w:ascii="宋体" w:hAnsi="宋体" w:cs="宋体"/>
          <w:color w:val="000000"/>
          <w:sz w:val="24"/>
          <w:szCs w:val="24"/>
          <w:u w:val="single"/>
        </w:rPr>
        <w:t>东阳剧院舞台灯光系统建设更新项目</w:t>
      </w:r>
      <w:r>
        <w:rPr>
          <w:rFonts w:hint="eastAsia" w:ascii="宋体" w:hAnsi="宋体" w:cs="宋体"/>
          <w:color w:val="0D0D0D"/>
          <w:sz w:val="24"/>
          <w:szCs w:val="24"/>
        </w:rPr>
        <w:t>（项目编号：</w:t>
      </w:r>
      <w:r>
        <w:rPr>
          <w:rFonts w:hint="eastAsia" w:ascii="宋体" w:hAnsi="宋体" w:cs="宋体"/>
          <w:color w:val="0D0D0D"/>
          <w:sz w:val="24"/>
          <w:szCs w:val="24"/>
          <w:u w:val="single"/>
        </w:rPr>
        <w:t>JCZFCG2024-Z37-A347）</w:t>
      </w:r>
      <w:r>
        <w:rPr>
          <w:rFonts w:hint="eastAsia" w:ascii="宋体" w:hAnsi="宋体" w:cs="宋体"/>
          <w:color w:val="0D0D0D"/>
          <w:sz w:val="24"/>
          <w:szCs w:val="24"/>
        </w:rPr>
        <w:t>的招标公告，签字代表</w:t>
      </w:r>
      <w:r>
        <w:rPr>
          <w:rFonts w:ascii="宋体" w:hAnsi="宋体" w:cs="宋体"/>
          <w:color w:val="0D0D0D"/>
          <w:sz w:val="24"/>
          <w:szCs w:val="24"/>
          <w:u w:val="single"/>
        </w:rPr>
        <w:t>_____</w:t>
      </w:r>
      <w:r>
        <w:rPr>
          <w:rFonts w:hint="eastAsia" w:ascii="宋体" w:hAnsi="宋体" w:cs="宋体"/>
          <w:color w:val="0D0D0D"/>
          <w:sz w:val="24"/>
          <w:szCs w:val="24"/>
          <w:u w:val="single"/>
        </w:rPr>
        <w:t>（全名</w:t>
      </w:r>
      <w:r>
        <w:rPr>
          <w:rFonts w:hint="eastAsia" w:ascii="宋体" w:hAnsi="宋体" w:cs="宋体"/>
          <w:color w:val="0D0D0D"/>
          <w:sz w:val="24"/>
          <w:szCs w:val="24"/>
        </w:rPr>
        <w:t>）经正式授权并代表投标人</w:t>
      </w:r>
      <w:r>
        <w:rPr>
          <w:rFonts w:ascii="宋体" w:hAnsi="宋体" w:cs="宋体"/>
          <w:color w:val="0D0D0D"/>
          <w:sz w:val="24"/>
          <w:szCs w:val="24"/>
        </w:rPr>
        <w:t>_</w:t>
      </w:r>
      <w:r>
        <w:rPr>
          <w:rFonts w:ascii="宋体" w:hAnsi="宋体" w:cs="宋体"/>
          <w:color w:val="0D0D0D"/>
          <w:sz w:val="24"/>
          <w:szCs w:val="24"/>
          <w:u w:val="single"/>
        </w:rPr>
        <w:t>______</w:t>
      </w:r>
      <w:r>
        <w:rPr>
          <w:rFonts w:hint="eastAsia" w:ascii="宋体" w:hAnsi="宋体" w:cs="宋体"/>
          <w:color w:val="0D0D0D"/>
          <w:sz w:val="24"/>
          <w:szCs w:val="24"/>
          <w:u w:val="single"/>
        </w:rPr>
        <w:t>（投标人名称）</w:t>
      </w:r>
      <w:r>
        <w:rPr>
          <w:rFonts w:hint="eastAsia" w:ascii="宋体" w:hAnsi="宋体" w:cs="宋体"/>
          <w:color w:val="0D0D0D"/>
          <w:sz w:val="24"/>
          <w:szCs w:val="24"/>
        </w:rPr>
        <w:t>提交资信商务及技术文件、报价文件正本各一份、副本四份。</w:t>
      </w:r>
    </w:p>
    <w:p w14:paraId="1C447174">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rPr>
      </w:pPr>
      <w:r>
        <w:rPr>
          <w:rFonts w:hint="eastAsia" w:ascii="宋体" w:hAnsi="宋体" w:cs="宋体"/>
          <w:color w:val="0D0D0D"/>
          <w:sz w:val="24"/>
          <w:szCs w:val="24"/>
        </w:rPr>
        <w:t>据此函，签字代表宣布同意如下：</w:t>
      </w:r>
    </w:p>
    <w:p w14:paraId="60C20B45">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rPr>
      </w:pPr>
      <w:r>
        <w:rPr>
          <w:rFonts w:ascii="宋体" w:hAnsi="宋体" w:cs="宋体"/>
          <w:color w:val="0D0D0D"/>
          <w:sz w:val="24"/>
          <w:szCs w:val="24"/>
        </w:rPr>
        <w:t>1</w:t>
      </w:r>
      <w:r>
        <w:rPr>
          <w:rFonts w:ascii="宋体" w:cs="宋体"/>
          <w:color w:val="0D0D0D"/>
          <w:sz w:val="24"/>
          <w:szCs w:val="24"/>
        </w:rPr>
        <w:t>.</w:t>
      </w:r>
      <w:r>
        <w:rPr>
          <w:rFonts w:hint="eastAsia" w:ascii="宋体" w:hAnsi="宋体" w:cs="宋体"/>
          <w:color w:val="0D0D0D"/>
          <w:sz w:val="24"/>
          <w:szCs w:val="24"/>
        </w:rPr>
        <w:t>投标人已详细审查全部“招标文件”，并在投标之前已经与贵方进行了充分的沟通，完全理解并接受招标文件的各项规定和要求，对招标文件的合理性、合法性不再有异议。</w:t>
      </w:r>
    </w:p>
    <w:p w14:paraId="3E1361E6">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rPr>
      </w:pPr>
      <w:r>
        <w:rPr>
          <w:rFonts w:ascii="宋体" w:hAnsi="宋体" w:cs="宋体"/>
          <w:color w:val="0D0D0D"/>
          <w:sz w:val="24"/>
          <w:szCs w:val="24"/>
        </w:rPr>
        <w:t>2.</w:t>
      </w:r>
      <w:r>
        <w:rPr>
          <w:rFonts w:hint="eastAsia" w:ascii="宋体" w:hAnsi="宋体" w:cs="宋体"/>
          <w:sz w:val="24"/>
          <w:szCs w:val="24"/>
        </w:rPr>
        <w:t>现经我方认真分析研究，同意接受招标文件全部要约条件，并按此确定本项目投标的各项承诺内容，以本投标书向贵方发包的</w:t>
      </w:r>
      <w:r>
        <w:rPr>
          <w:rFonts w:hint="eastAsia" w:ascii="宋体" w:hAnsi="宋体" w:cs="宋体"/>
          <w:color w:val="000000"/>
          <w:sz w:val="24"/>
          <w:szCs w:val="24"/>
          <w:u w:val="single"/>
        </w:rPr>
        <w:t>东阳剧院舞台灯光系统建设更新项目</w:t>
      </w:r>
      <w:r>
        <w:rPr>
          <w:rFonts w:hint="eastAsia" w:ascii="宋体" w:hAnsi="宋体" w:cs="宋体"/>
          <w:sz w:val="24"/>
          <w:szCs w:val="24"/>
        </w:rPr>
        <w:t>全部内容进行投标。</w:t>
      </w:r>
    </w:p>
    <w:p w14:paraId="4D0C939E">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rPr>
      </w:pPr>
      <w:r>
        <w:rPr>
          <w:rFonts w:ascii="宋体" w:hAnsi="宋体" w:cs="宋体"/>
          <w:color w:val="0D0D0D"/>
          <w:sz w:val="24"/>
          <w:szCs w:val="24"/>
        </w:rPr>
        <w:t>3.</w:t>
      </w:r>
      <w:r>
        <w:rPr>
          <w:rFonts w:hint="eastAsia" w:ascii="宋体" w:hAnsi="宋体" w:cs="宋体"/>
          <w:color w:val="0D0D0D"/>
          <w:sz w:val="24"/>
          <w:szCs w:val="24"/>
        </w:rPr>
        <w:t>如中标，本投标文件至本项目合同履行完毕止均保持有效，本投标人将按“招标文件”及政府采购法律、法规的规定履行合同责任和义务。</w:t>
      </w:r>
    </w:p>
    <w:p w14:paraId="3D1D569A">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rPr>
      </w:pPr>
      <w:r>
        <w:rPr>
          <w:rFonts w:ascii="宋体" w:hAnsi="宋体" w:cs="宋体"/>
          <w:color w:val="0D0D0D"/>
          <w:sz w:val="24"/>
          <w:szCs w:val="24"/>
        </w:rPr>
        <w:t>4.</w:t>
      </w:r>
      <w:r>
        <w:rPr>
          <w:rFonts w:hint="eastAsia" w:ascii="宋体" w:hAnsi="宋体" w:cs="宋体"/>
          <w:color w:val="0D0D0D"/>
          <w:sz w:val="24"/>
          <w:szCs w:val="24"/>
        </w:rPr>
        <w:t>投标人同意按照贵方要求提供与投标有关的一切数据或资料。</w:t>
      </w:r>
    </w:p>
    <w:p w14:paraId="141AE00D">
      <w:pPr>
        <w:keepNext w:val="0"/>
        <w:keepLines w:val="0"/>
        <w:pageBreakBefore w:val="0"/>
        <w:kinsoku/>
        <w:overflowPunct/>
        <w:topLinePunct w:val="0"/>
        <w:bidi w:val="0"/>
        <w:snapToGrid w:val="0"/>
        <w:spacing w:beforeAutospacing="0" w:after="0" w:afterAutospacing="0" w:line="360" w:lineRule="auto"/>
        <w:ind w:firstLine="480" w:firstLineChars="200"/>
        <w:rPr>
          <w:rFonts w:ascii="宋体"/>
          <w:color w:val="0D0D0D"/>
          <w:sz w:val="24"/>
          <w:szCs w:val="24"/>
        </w:rPr>
      </w:pPr>
      <w:r>
        <w:rPr>
          <w:rFonts w:ascii="宋体" w:hAnsi="宋体" w:cs="宋体"/>
          <w:color w:val="0D0D0D"/>
          <w:sz w:val="24"/>
          <w:szCs w:val="24"/>
        </w:rPr>
        <w:t>5.</w:t>
      </w:r>
      <w:r>
        <w:rPr>
          <w:rFonts w:hint="eastAsia" w:ascii="宋体" w:hAnsi="宋体" w:cs="宋体"/>
          <w:color w:val="0D0D0D"/>
          <w:sz w:val="24"/>
          <w:szCs w:val="24"/>
        </w:rPr>
        <w:t>与本投标有关的一切正式往来信函请寄：</w:t>
      </w:r>
    </w:p>
    <w:p w14:paraId="347076B8">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地址：</w:t>
      </w:r>
      <w:r>
        <w:rPr>
          <w:rFonts w:ascii="宋体" w:hAnsi="宋体" w:cs="宋体"/>
          <w:color w:val="0D0D0D"/>
          <w:sz w:val="24"/>
          <w:szCs w:val="24"/>
        </w:rPr>
        <w:t>__________</w:t>
      </w:r>
      <w:r>
        <w:rPr>
          <w:rFonts w:ascii="宋体" w:hAnsi="宋体" w:cs="宋体"/>
          <w:color w:val="0D0D0D"/>
          <w:sz w:val="24"/>
          <w:szCs w:val="24"/>
          <w:u w:val="single"/>
        </w:rPr>
        <w:t>_</w:t>
      </w:r>
      <w:r>
        <w:rPr>
          <w:rFonts w:ascii="宋体" w:hAnsi="宋体" w:cs="宋体"/>
          <w:color w:val="0D0D0D"/>
          <w:sz w:val="24"/>
          <w:szCs w:val="24"/>
        </w:rPr>
        <w:t>____</w:t>
      </w:r>
      <w:r>
        <w:rPr>
          <w:rFonts w:hint="eastAsia" w:ascii="宋体" w:hAnsi="宋体" w:cs="宋体"/>
          <w:color w:val="0D0D0D"/>
          <w:sz w:val="24"/>
          <w:szCs w:val="24"/>
        </w:rPr>
        <w:t>邮编：</w:t>
      </w:r>
      <w:r>
        <w:rPr>
          <w:rFonts w:ascii="宋体" w:hAnsi="宋体" w:cs="宋体"/>
          <w:color w:val="0D0D0D"/>
          <w:sz w:val="24"/>
          <w:szCs w:val="24"/>
        </w:rPr>
        <w:t>__________</w:t>
      </w:r>
      <w:r>
        <w:rPr>
          <w:rFonts w:hint="eastAsia" w:ascii="宋体" w:hAnsi="宋体" w:cs="宋体"/>
          <w:color w:val="0D0D0D"/>
          <w:sz w:val="24"/>
          <w:szCs w:val="24"/>
        </w:rPr>
        <w:t>电话：</w:t>
      </w:r>
      <w:r>
        <w:rPr>
          <w:rFonts w:ascii="宋体" w:hAnsi="宋体" w:cs="宋体"/>
          <w:color w:val="0D0D0D"/>
          <w:sz w:val="24"/>
          <w:szCs w:val="24"/>
        </w:rPr>
        <w:t>______________</w:t>
      </w:r>
    </w:p>
    <w:p w14:paraId="5E3C4C7F">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传真：</w:t>
      </w:r>
      <w:r>
        <w:rPr>
          <w:rFonts w:ascii="宋体" w:hAnsi="宋体" w:cs="宋体"/>
          <w:color w:val="0D0D0D"/>
          <w:sz w:val="24"/>
          <w:szCs w:val="24"/>
        </w:rPr>
        <w:t>___________</w:t>
      </w:r>
      <w:r>
        <w:rPr>
          <w:rFonts w:hint="eastAsia" w:ascii="宋体" w:hAnsi="宋体" w:cs="宋体"/>
          <w:color w:val="0D0D0D"/>
          <w:sz w:val="24"/>
          <w:szCs w:val="24"/>
        </w:rPr>
        <w:t>投标人代表姓名</w:t>
      </w:r>
      <w:r>
        <w:rPr>
          <w:rFonts w:ascii="宋体" w:hAnsi="宋体" w:cs="宋体"/>
          <w:color w:val="0D0D0D"/>
          <w:sz w:val="24"/>
          <w:szCs w:val="24"/>
        </w:rPr>
        <w:t>___________</w:t>
      </w:r>
      <w:r>
        <w:rPr>
          <w:rFonts w:hint="eastAsia" w:ascii="宋体" w:hAnsi="宋体" w:cs="宋体"/>
          <w:color w:val="0D0D0D"/>
          <w:sz w:val="24"/>
          <w:szCs w:val="24"/>
        </w:rPr>
        <w:t>职务：</w:t>
      </w:r>
      <w:r>
        <w:rPr>
          <w:rFonts w:ascii="宋体" w:hAnsi="宋体" w:cs="宋体"/>
          <w:color w:val="0D0D0D"/>
          <w:sz w:val="24"/>
          <w:szCs w:val="24"/>
        </w:rPr>
        <w:t>_____________</w:t>
      </w:r>
    </w:p>
    <w:p w14:paraId="2497B4A3">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投标人名称</w:t>
      </w:r>
      <w:r>
        <w:rPr>
          <w:rFonts w:ascii="宋体" w:hAnsi="宋体" w:cs="宋体"/>
          <w:color w:val="0D0D0D"/>
          <w:sz w:val="24"/>
          <w:szCs w:val="24"/>
        </w:rPr>
        <w:t>(</w:t>
      </w:r>
      <w:r>
        <w:rPr>
          <w:rFonts w:hint="eastAsia" w:ascii="宋体" w:hAnsi="宋体" w:cs="宋体"/>
          <w:color w:val="0D0D0D"/>
          <w:sz w:val="24"/>
          <w:szCs w:val="24"/>
        </w:rPr>
        <w:t>公章</w:t>
      </w:r>
      <w:r>
        <w:rPr>
          <w:rFonts w:ascii="宋体" w:hAnsi="宋体" w:cs="宋体"/>
          <w:color w:val="0D0D0D"/>
          <w:sz w:val="24"/>
          <w:szCs w:val="24"/>
        </w:rPr>
        <w:t>):___________________</w:t>
      </w:r>
    </w:p>
    <w:p w14:paraId="09932404">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授权代表签字</w:t>
      </w:r>
      <w:r>
        <w:rPr>
          <w:rFonts w:ascii="宋体" w:hAnsi="宋体" w:cs="宋体"/>
          <w:color w:val="0D0D0D"/>
          <w:sz w:val="24"/>
          <w:szCs w:val="24"/>
        </w:rPr>
        <w:t>:___________</w:t>
      </w:r>
    </w:p>
    <w:p w14:paraId="1C31E55D">
      <w:pPr>
        <w:keepNext w:val="0"/>
        <w:keepLines w:val="0"/>
        <w:pageBreakBefore w:val="0"/>
        <w:kinsoku/>
        <w:overflowPunct/>
        <w:topLinePunct w:val="0"/>
        <w:bidi w:val="0"/>
        <w:snapToGrid w:val="0"/>
        <w:spacing w:beforeAutospacing="0" w:after="0" w:afterAutospacing="0" w:line="360" w:lineRule="auto"/>
        <w:rPr>
          <w:rFonts w:ascii="宋体"/>
          <w:color w:val="0D0D0D"/>
          <w:sz w:val="24"/>
          <w:szCs w:val="24"/>
        </w:rPr>
      </w:pPr>
      <w:r>
        <w:rPr>
          <w:rFonts w:hint="eastAsia" w:ascii="宋体" w:hAnsi="宋体" w:cs="宋体"/>
          <w:color w:val="0D0D0D"/>
          <w:sz w:val="24"/>
          <w:szCs w:val="24"/>
        </w:rPr>
        <w:t>日期</w:t>
      </w:r>
      <w:r>
        <w:rPr>
          <w:rFonts w:ascii="宋体" w:hAnsi="宋体" w:cs="宋体"/>
          <w:color w:val="0D0D0D"/>
          <w:sz w:val="24"/>
          <w:szCs w:val="24"/>
        </w:rPr>
        <w:t>:_____</w:t>
      </w:r>
      <w:r>
        <w:rPr>
          <w:rFonts w:hint="eastAsia" w:ascii="宋体" w:hAnsi="宋体" w:cs="宋体"/>
          <w:color w:val="0D0D0D"/>
          <w:sz w:val="24"/>
          <w:szCs w:val="24"/>
        </w:rPr>
        <w:t>年</w:t>
      </w:r>
      <w:r>
        <w:rPr>
          <w:rFonts w:ascii="宋体" w:hAnsi="宋体" w:cs="宋体"/>
          <w:color w:val="0D0D0D"/>
          <w:sz w:val="24"/>
          <w:szCs w:val="24"/>
        </w:rPr>
        <w:t>___</w:t>
      </w:r>
      <w:r>
        <w:rPr>
          <w:rFonts w:hint="eastAsia" w:ascii="宋体" w:hAnsi="宋体" w:cs="宋体"/>
          <w:color w:val="0D0D0D"/>
          <w:sz w:val="24"/>
          <w:szCs w:val="24"/>
        </w:rPr>
        <w:t>月</w:t>
      </w:r>
    </w:p>
    <w:p w14:paraId="5733AD6B">
      <w:pPr>
        <w:keepNext w:val="0"/>
        <w:keepLines w:val="0"/>
        <w:pageBreakBefore w:val="0"/>
        <w:kinsoku/>
        <w:overflowPunct/>
        <w:topLinePunct w:val="0"/>
        <w:bidi w:val="0"/>
        <w:snapToGrid w:val="0"/>
        <w:spacing w:beforeAutospacing="0" w:after="0" w:afterAutospacing="0"/>
        <w:jc w:val="left"/>
        <w:rPr>
          <w:b/>
          <w:bCs/>
          <w:sz w:val="24"/>
          <w:szCs w:val="24"/>
        </w:rPr>
      </w:pPr>
      <w:r>
        <w:rPr>
          <w:b/>
          <w:bCs/>
          <w:sz w:val="24"/>
          <w:szCs w:val="24"/>
        </w:rPr>
        <w:br w:type="page"/>
      </w:r>
      <w:bookmarkStart w:id="21" w:name="_Toc449173147"/>
    </w:p>
    <w:p w14:paraId="4190B475">
      <w:pPr>
        <w:keepNext w:val="0"/>
        <w:keepLines w:val="0"/>
        <w:pageBreakBefore w:val="0"/>
        <w:kinsoku/>
        <w:overflowPunct/>
        <w:topLinePunct w:val="0"/>
        <w:bidi w:val="0"/>
        <w:spacing w:beforeAutospacing="0" w:after="0" w:afterAutospacing="0" w:line="360" w:lineRule="auto"/>
        <w:jc w:val="left"/>
        <w:outlineLvl w:val="1"/>
        <w:rPr>
          <w:rFonts w:ascii="宋体" w:hAnsi="宋体" w:cs="宋体"/>
          <w:b/>
          <w:bCs/>
          <w:color w:val="0D0D0D"/>
          <w:sz w:val="24"/>
          <w:szCs w:val="24"/>
        </w:rPr>
      </w:pPr>
      <w:r>
        <w:rPr>
          <w:rFonts w:ascii="宋体" w:hAnsi="宋体" w:cs="宋体"/>
          <w:b/>
          <w:bCs/>
          <w:color w:val="0D0D0D"/>
          <w:sz w:val="24"/>
          <w:szCs w:val="24"/>
        </w:rPr>
        <w:t>3.2开标一览表</w:t>
      </w:r>
    </w:p>
    <w:p w14:paraId="0900E2C9">
      <w:pPr>
        <w:keepNext w:val="0"/>
        <w:keepLines w:val="0"/>
        <w:pageBreakBefore w:val="0"/>
        <w:kinsoku/>
        <w:overflowPunct/>
        <w:topLinePunct w:val="0"/>
        <w:bidi w:val="0"/>
        <w:snapToGrid w:val="0"/>
        <w:spacing w:beforeAutospacing="0" w:after="0" w:afterAutospacing="0" w:line="360" w:lineRule="auto"/>
        <w:rPr>
          <w:rFonts w:ascii="宋体" w:hAnsi="宋体" w:cs="宋体"/>
          <w:color w:val="0D0D0D"/>
          <w:sz w:val="24"/>
          <w:szCs w:val="24"/>
          <w:u w:val="single"/>
        </w:rPr>
      </w:pPr>
      <w:r>
        <w:rPr>
          <w:rFonts w:hint="eastAsia" w:ascii="宋体" w:cs="宋体"/>
          <w:sz w:val="24"/>
          <w:szCs w:val="24"/>
        </w:rPr>
        <w:t>招标编号：</w:t>
      </w:r>
      <w:r>
        <w:rPr>
          <w:rFonts w:hint="eastAsia" w:ascii="宋体" w:hAnsi="宋体" w:cs="宋体"/>
          <w:color w:val="0D0D0D"/>
          <w:sz w:val="24"/>
          <w:szCs w:val="24"/>
          <w:u w:val="single"/>
        </w:rPr>
        <w:t>JCZFCG2024-Z37-A347</w:t>
      </w:r>
    </w:p>
    <w:p w14:paraId="7AB9A50B">
      <w:pPr>
        <w:keepNext w:val="0"/>
        <w:keepLines w:val="0"/>
        <w:pageBreakBefore w:val="0"/>
        <w:kinsoku/>
        <w:overflowPunct/>
        <w:topLinePunct w:val="0"/>
        <w:bidi w:val="0"/>
        <w:snapToGrid w:val="0"/>
        <w:spacing w:beforeAutospacing="0" w:after="0" w:afterAutospacing="0" w:line="360" w:lineRule="auto"/>
        <w:rPr>
          <w:rFonts w:ascii="宋体"/>
          <w:color w:val="000000"/>
          <w:sz w:val="24"/>
          <w:szCs w:val="24"/>
          <w:u w:val="single"/>
        </w:rPr>
      </w:pPr>
      <w:r>
        <w:rPr>
          <w:rFonts w:hint="eastAsia" w:ascii="宋体" w:cs="宋体"/>
          <w:sz w:val="24"/>
          <w:szCs w:val="24"/>
        </w:rPr>
        <w:t>项目名称：</w:t>
      </w:r>
      <w:r>
        <w:rPr>
          <w:rFonts w:hint="eastAsia" w:ascii="宋体" w:hAnsi="宋体" w:cs="宋体"/>
          <w:color w:val="000000"/>
          <w:sz w:val="24"/>
          <w:szCs w:val="24"/>
          <w:u w:val="single"/>
        </w:rPr>
        <w:t>东阳剧院舞台灯光系统建设更新项目</w:t>
      </w:r>
    </w:p>
    <w:p w14:paraId="7379EAAB">
      <w:pPr>
        <w:pStyle w:val="47"/>
        <w:keepNext w:val="0"/>
        <w:keepLines w:val="0"/>
        <w:pageBreakBefore w:val="0"/>
        <w:kinsoku/>
        <w:overflowPunct/>
        <w:topLinePunct w:val="0"/>
        <w:bidi w:val="0"/>
        <w:spacing w:beforeAutospacing="0" w:after="0" w:afterAutospacing="0" w:line="360" w:lineRule="auto"/>
        <w:ind w:firstLine="0" w:firstLineChars="0"/>
        <w:jc w:val="center"/>
        <w:rPr>
          <w:rFonts w:hAnsi="宋体"/>
          <w:color w:val="000000"/>
          <w:sz w:val="24"/>
          <w:szCs w:val="24"/>
        </w:rPr>
      </w:pPr>
      <w:r>
        <w:rPr>
          <w:rFonts w:hint="eastAsia" w:hAnsi="宋体"/>
          <w:color w:val="000000"/>
          <w:sz w:val="24"/>
          <w:szCs w:val="24"/>
        </w:rPr>
        <w:t xml:space="preserve">                                                                单位：元</w:t>
      </w:r>
    </w:p>
    <w:bookmarkEnd w:id="21"/>
    <w:tbl>
      <w:tblPr>
        <w:tblStyle w:val="49"/>
        <w:tblpPr w:leftFromText="180" w:rightFromText="180" w:vertAnchor="text" w:horzAnchor="page" w:tblpX="1546" w:tblpY="152"/>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3179"/>
        <w:gridCol w:w="1396"/>
        <w:gridCol w:w="1560"/>
        <w:gridCol w:w="2205"/>
      </w:tblGrid>
      <w:tr w14:paraId="7F7EB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 w:type="pct"/>
          </w:tcPr>
          <w:p w14:paraId="4AA52AC9">
            <w:pPr>
              <w:keepNext w:val="0"/>
              <w:keepLines w:val="0"/>
              <w:pageBreakBefore w:val="0"/>
              <w:kinsoku/>
              <w:overflowPunct/>
              <w:topLinePunct w:val="0"/>
              <w:bidi w:val="0"/>
              <w:spacing w:beforeAutospacing="0" w:after="0" w:afterAutospacing="0" w:line="360" w:lineRule="auto"/>
              <w:jc w:val="center"/>
              <w:rPr>
                <w:rFonts w:ascii="宋体"/>
                <w:b/>
                <w:bCs/>
                <w:sz w:val="24"/>
              </w:rPr>
            </w:pPr>
            <w:r>
              <w:rPr>
                <w:rFonts w:hint="eastAsia" w:ascii="宋体" w:hAnsi="宋体" w:cs="Arial"/>
                <w:b/>
                <w:bCs/>
                <w:sz w:val="24"/>
              </w:rPr>
              <w:t>序号</w:t>
            </w:r>
          </w:p>
        </w:tc>
        <w:tc>
          <w:tcPr>
            <w:tcW w:w="1740" w:type="pct"/>
          </w:tcPr>
          <w:p w14:paraId="719A522F">
            <w:pPr>
              <w:keepNext w:val="0"/>
              <w:keepLines w:val="0"/>
              <w:pageBreakBefore w:val="0"/>
              <w:kinsoku/>
              <w:overflowPunct/>
              <w:topLinePunct w:val="0"/>
              <w:bidi w:val="0"/>
              <w:spacing w:beforeAutospacing="0" w:after="0" w:afterAutospacing="0" w:line="360" w:lineRule="auto"/>
              <w:jc w:val="center"/>
              <w:rPr>
                <w:rFonts w:ascii="宋体" w:cs="Arial"/>
                <w:b/>
                <w:bCs/>
                <w:sz w:val="24"/>
              </w:rPr>
            </w:pPr>
            <w:r>
              <w:rPr>
                <w:rFonts w:hint="eastAsia" w:ascii="宋体" w:hAnsi="宋体"/>
                <w:b/>
                <w:bCs/>
                <w:szCs w:val="30"/>
              </w:rPr>
              <w:t>货物名称</w:t>
            </w:r>
          </w:p>
        </w:tc>
        <w:tc>
          <w:tcPr>
            <w:tcW w:w="764" w:type="pct"/>
          </w:tcPr>
          <w:p w14:paraId="06312CEE">
            <w:pPr>
              <w:keepNext w:val="0"/>
              <w:keepLines w:val="0"/>
              <w:pageBreakBefore w:val="0"/>
              <w:kinsoku/>
              <w:overflowPunct/>
              <w:topLinePunct w:val="0"/>
              <w:bidi w:val="0"/>
              <w:spacing w:beforeAutospacing="0" w:after="0" w:afterAutospacing="0" w:line="360" w:lineRule="auto"/>
              <w:jc w:val="center"/>
              <w:rPr>
                <w:rFonts w:ascii="宋体" w:hAnsi="宋体" w:cs="Arial"/>
                <w:b/>
                <w:bCs/>
                <w:sz w:val="24"/>
              </w:rPr>
            </w:pPr>
            <w:r>
              <w:rPr>
                <w:rFonts w:hint="eastAsia" w:ascii="宋体" w:hAnsi="宋体" w:cs="Arial"/>
                <w:b/>
                <w:bCs/>
                <w:sz w:val="24"/>
              </w:rPr>
              <w:t>数量</w:t>
            </w:r>
          </w:p>
        </w:tc>
        <w:tc>
          <w:tcPr>
            <w:tcW w:w="854" w:type="pct"/>
          </w:tcPr>
          <w:p w14:paraId="0CD0444F">
            <w:pPr>
              <w:keepNext w:val="0"/>
              <w:keepLines w:val="0"/>
              <w:pageBreakBefore w:val="0"/>
              <w:kinsoku/>
              <w:overflowPunct/>
              <w:topLinePunct w:val="0"/>
              <w:bidi w:val="0"/>
              <w:spacing w:beforeAutospacing="0" w:after="0" w:afterAutospacing="0" w:line="360" w:lineRule="auto"/>
              <w:jc w:val="center"/>
              <w:rPr>
                <w:rFonts w:ascii="宋体" w:hAnsi="宋体"/>
                <w:b/>
                <w:bCs/>
                <w:szCs w:val="30"/>
              </w:rPr>
            </w:pPr>
            <w:r>
              <w:rPr>
                <w:rFonts w:hint="eastAsia" w:ascii="宋体" w:hAnsi="宋体"/>
                <w:b/>
                <w:bCs/>
                <w:szCs w:val="30"/>
              </w:rPr>
              <w:t>单价</w:t>
            </w:r>
          </w:p>
        </w:tc>
        <w:tc>
          <w:tcPr>
            <w:tcW w:w="1205" w:type="pct"/>
          </w:tcPr>
          <w:p w14:paraId="0C3B1A04">
            <w:pPr>
              <w:keepNext w:val="0"/>
              <w:keepLines w:val="0"/>
              <w:pageBreakBefore w:val="0"/>
              <w:kinsoku/>
              <w:overflowPunct/>
              <w:topLinePunct w:val="0"/>
              <w:bidi w:val="0"/>
              <w:spacing w:beforeAutospacing="0" w:after="0" w:afterAutospacing="0" w:line="276" w:lineRule="auto"/>
              <w:rPr>
                <w:rFonts w:ascii="宋体" w:cs="Arial"/>
                <w:b/>
                <w:bCs/>
                <w:sz w:val="24"/>
              </w:rPr>
            </w:pPr>
            <w:r>
              <w:rPr>
                <w:rFonts w:hint="eastAsia" w:ascii="宋体" w:cs="Arial"/>
                <w:b/>
                <w:bCs/>
                <w:sz w:val="24"/>
              </w:rPr>
              <w:t>投标报价合计（元）</w:t>
            </w:r>
          </w:p>
        </w:tc>
      </w:tr>
      <w:tr w14:paraId="5616A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435" w:type="pct"/>
          </w:tcPr>
          <w:p w14:paraId="05B365E2">
            <w:pPr>
              <w:keepNext w:val="0"/>
              <w:keepLines w:val="0"/>
              <w:pageBreakBefore w:val="0"/>
              <w:kinsoku/>
              <w:overflowPunct/>
              <w:topLinePunct w:val="0"/>
              <w:bidi w:val="0"/>
              <w:spacing w:beforeAutospacing="0" w:after="0" w:afterAutospacing="0" w:line="360" w:lineRule="auto"/>
              <w:jc w:val="center"/>
              <w:rPr>
                <w:rFonts w:ascii="宋体"/>
                <w:sz w:val="24"/>
              </w:rPr>
            </w:pPr>
            <w:r>
              <w:rPr>
                <w:rFonts w:ascii="宋体" w:hAnsi="宋体" w:cs="Arial"/>
                <w:sz w:val="24"/>
              </w:rPr>
              <w:t>1</w:t>
            </w:r>
          </w:p>
        </w:tc>
        <w:tc>
          <w:tcPr>
            <w:tcW w:w="1740" w:type="pct"/>
          </w:tcPr>
          <w:p w14:paraId="3C36C93F">
            <w:pPr>
              <w:keepNext w:val="0"/>
              <w:keepLines w:val="0"/>
              <w:pageBreakBefore w:val="0"/>
              <w:kinsoku/>
              <w:overflowPunct/>
              <w:topLinePunct w:val="0"/>
              <w:bidi w:val="0"/>
              <w:spacing w:beforeAutospacing="0" w:after="0" w:afterAutospacing="0" w:line="276" w:lineRule="auto"/>
              <w:rPr>
                <w:rFonts w:ascii="宋体" w:cs="Arial"/>
                <w:sz w:val="24"/>
              </w:rPr>
            </w:pPr>
          </w:p>
        </w:tc>
        <w:tc>
          <w:tcPr>
            <w:tcW w:w="764" w:type="pct"/>
          </w:tcPr>
          <w:p w14:paraId="10241EA8">
            <w:pPr>
              <w:keepNext w:val="0"/>
              <w:keepLines w:val="0"/>
              <w:pageBreakBefore w:val="0"/>
              <w:kinsoku/>
              <w:overflowPunct/>
              <w:topLinePunct w:val="0"/>
              <w:bidi w:val="0"/>
              <w:spacing w:beforeAutospacing="0" w:after="0" w:afterAutospacing="0" w:line="276" w:lineRule="auto"/>
              <w:rPr>
                <w:rFonts w:ascii="宋体" w:cs="Arial"/>
                <w:sz w:val="24"/>
              </w:rPr>
            </w:pPr>
          </w:p>
        </w:tc>
        <w:tc>
          <w:tcPr>
            <w:tcW w:w="854" w:type="pct"/>
          </w:tcPr>
          <w:p w14:paraId="02BA5EA4">
            <w:pPr>
              <w:keepNext w:val="0"/>
              <w:keepLines w:val="0"/>
              <w:pageBreakBefore w:val="0"/>
              <w:kinsoku/>
              <w:overflowPunct/>
              <w:topLinePunct w:val="0"/>
              <w:bidi w:val="0"/>
              <w:spacing w:beforeAutospacing="0" w:after="0" w:afterAutospacing="0" w:line="276" w:lineRule="auto"/>
              <w:jc w:val="center"/>
              <w:rPr>
                <w:rFonts w:ascii="宋体" w:cs="Arial"/>
                <w:sz w:val="24"/>
                <w:u w:val="single"/>
              </w:rPr>
            </w:pPr>
          </w:p>
        </w:tc>
        <w:tc>
          <w:tcPr>
            <w:tcW w:w="1205" w:type="pct"/>
          </w:tcPr>
          <w:p w14:paraId="5479F611">
            <w:pPr>
              <w:keepNext w:val="0"/>
              <w:keepLines w:val="0"/>
              <w:pageBreakBefore w:val="0"/>
              <w:kinsoku/>
              <w:overflowPunct/>
              <w:topLinePunct w:val="0"/>
              <w:bidi w:val="0"/>
              <w:spacing w:beforeAutospacing="0" w:after="0" w:afterAutospacing="0" w:line="276" w:lineRule="auto"/>
              <w:rPr>
                <w:rFonts w:ascii="宋体" w:cs="Arial"/>
                <w:sz w:val="24"/>
              </w:rPr>
            </w:pPr>
          </w:p>
        </w:tc>
      </w:tr>
      <w:tr w14:paraId="43F57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435" w:type="pct"/>
          </w:tcPr>
          <w:p w14:paraId="7B9BAA12">
            <w:pPr>
              <w:keepNext w:val="0"/>
              <w:keepLines w:val="0"/>
              <w:pageBreakBefore w:val="0"/>
              <w:kinsoku/>
              <w:overflowPunct/>
              <w:topLinePunct w:val="0"/>
              <w:bidi w:val="0"/>
              <w:spacing w:beforeAutospacing="0" w:after="0" w:afterAutospacing="0" w:line="360" w:lineRule="auto"/>
              <w:jc w:val="center"/>
              <w:rPr>
                <w:rFonts w:ascii="宋体" w:hAnsi="宋体" w:cs="Arial"/>
                <w:sz w:val="24"/>
              </w:rPr>
            </w:pPr>
            <w:r>
              <w:rPr>
                <w:rFonts w:hint="eastAsia" w:ascii="宋体" w:hAnsi="宋体" w:cs="Arial"/>
                <w:sz w:val="24"/>
              </w:rPr>
              <w:t>2</w:t>
            </w:r>
          </w:p>
        </w:tc>
        <w:tc>
          <w:tcPr>
            <w:tcW w:w="3179" w:type="dxa"/>
          </w:tcPr>
          <w:p w14:paraId="12D1288B">
            <w:pPr>
              <w:keepNext w:val="0"/>
              <w:keepLines w:val="0"/>
              <w:pageBreakBefore w:val="0"/>
              <w:kinsoku/>
              <w:overflowPunct/>
              <w:topLinePunct w:val="0"/>
              <w:bidi w:val="0"/>
              <w:spacing w:beforeAutospacing="0" w:after="0" w:afterAutospacing="0" w:line="276" w:lineRule="auto"/>
              <w:rPr>
                <w:rFonts w:ascii="宋体" w:cs="Arial"/>
                <w:sz w:val="24"/>
              </w:rPr>
            </w:pPr>
          </w:p>
        </w:tc>
        <w:tc>
          <w:tcPr>
            <w:tcW w:w="1396" w:type="dxa"/>
          </w:tcPr>
          <w:p w14:paraId="5C244FCE">
            <w:pPr>
              <w:keepNext w:val="0"/>
              <w:keepLines w:val="0"/>
              <w:pageBreakBefore w:val="0"/>
              <w:kinsoku/>
              <w:overflowPunct/>
              <w:topLinePunct w:val="0"/>
              <w:bidi w:val="0"/>
              <w:spacing w:beforeAutospacing="0" w:after="0" w:afterAutospacing="0" w:line="276" w:lineRule="auto"/>
              <w:rPr>
                <w:rFonts w:ascii="宋体" w:cs="Arial"/>
                <w:sz w:val="24"/>
                <w:u w:val="single"/>
              </w:rPr>
            </w:pPr>
          </w:p>
        </w:tc>
        <w:tc>
          <w:tcPr>
            <w:tcW w:w="1560" w:type="dxa"/>
          </w:tcPr>
          <w:p w14:paraId="681C2C5E">
            <w:pPr>
              <w:keepNext w:val="0"/>
              <w:keepLines w:val="0"/>
              <w:pageBreakBefore w:val="0"/>
              <w:kinsoku/>
              <w:overflowPunct/>
              <w:topLinePunct w:val="0"/>
              <w:bidi w:val="0"/>
              <w:spacing w:beforeAutospacing="0" w:after="0" w:afterAutospacing="0" w:line="276" w:lineRule="auto"/>
              <w:jc w:val="center"/>
              <w:rPr>
                <w:rFonts w:ascii="宋体" w:cs="Arial"/>
                <w:sz w:val="24"/>
                <w:u w:val="single"/>
              </w:rPr>
            </w:pPr>
          </w:p>
        </w:tc>
        <w:tc>
          <w:tcPr>
            <w:tcW w:w="1205" w:type="pct"/>
          </w:tcPr>
          <w:p w14:paraId="4E69F78A">
            <w:pPr>
              <w:keepNext w:val="0"/>
              <w:keepLines w:val="0"/>
              <w:pageBreakBefore w:val="0"/>
              <w:kinsoku/>
              <w:overflowPunct/>
              <w:topLinePunct w:val="0"/>
              <w:bidi w:val="0"/>
              <w:spacing w:beforeAutospacing="0" w:after="0" w:afterAutospacing="0" w:line="276" w:lineRule="auto"/>
              <w:rPr>
                <w:rFonts w:ascii="宋体" w:cs="Arial"/>
                <w:sz w:val="24"/>
              </w:rPr>
            </w:pPr>
          </w:p>
        </w:tc>
      </w:tr>
      <w:tr w14:paraId="40AC6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435" w:type="pct"/>
          </w:tcPr>
          <w:p w14:paraId="1A9DC922">
            <w:pPr>
              <w:keepNext w:val="0"/>
              <w:keepLines w:val="0"/>
              <w:pageBreakBefore w:val="0"/>
              <w:kinsoku/>
              <w:overflowPunct/>
              <w:topLinePunct w:val="0"/>
              <w:bidi w:val="0"/>
              <w:spacing w:beforeAutospacing="0" w:after="0" w:afterAutospacing="0" w:line="360" w:lineRule="auto"/>
              <w:jc w:val="center"/>
              <w:rPr>
                <w:rFonts w:ascii="宋体" w:hAnsi="宋体" w:cs="Arial"/>
                <w:sz w:val="24"/>
              </w:rPr>
            </w:pPr>
            <w:r>
              <w:rPr>
                <w:rFonts w:hint="eastAsia" w:ascii="宋体" w:hAnsi="宋体" w:cs="Arial"/>
                <w:sz w:val="24"/>
              </w:rPr>
              <w:t>3</w:t>
            </w:r>
          </w:p>
        </w:tc>
        <w:tc>
          <w:tcPr>
            <w:tcW w:w="1740" w:type="pct"/>
          </w:tcPr>
          <w:p w14:paraId="55AFA30B">
            <w:pPr>
              <w:keepNext w:val="0"/>
              <w:keepLines w:val="0"/>
              <w:pageBreakBefore w:val="0"/>
              <w:kinsoku/>
              <w:overflowPunct/>
              <w:topLinePunct w:val="0"/>
              <w:bidi w:val="0"/>
              <w:spacing w:beforeAutospacing="0" w:after="0" w:afterAutospacing="0" w:line="276" w:lineRule="auto"/>
              <w:rPr>
                <w:rFonts w:ascii="宋体" w:cs="Arial"/>
                <w:sz w:val="24"/>
              </w:rPr>
            </w:pPr>
          </w:p>
        </w:tc>
        <w:tc>
          <w:tcPr>
            <w:tcW w:w="764" w:type="pct"/>
          </w:tcPr>
          <w:p w14:paraId="440EFE4D">
            <w:pPr>
              <w:keepNext w:val="0"/>
              <w:keepLines w:val="0"/>
              <w:pageBreakBefore w:val="0"/>
              <w:kinsoku/>
              <w:overflowPunct/>
              <w:topLinePunct w:val="0"/>
              <w:bidi w:val="0"/>
              <w:spacing w:beforeAutospacing="0" w:after="0" w:afterAutospacing="0" w:line="276" w:lineRule="auto"/>
              <w:rPr>
                <w:rFonts w:ascii="宋体" w:cs="Arial"/>
                <w:sz w:val="24"/>
              </w:rPr>
            </w:pPr>
          </w:p>
        </w:tc>
        <w:tc>
          <w:tcPr>
            <w:tcW w:w="854" w:type="pct"/>
          </w:tcPr>
          <w:p w14:paraId="268420DB">
            <w:pPr>
              <w:keepNext w:val="0"/>
              <w:keepLines w:val="0"/>
              <w:pageBreakBefore w:val="0"/>
              <w:kinsoku/>
              <w:overflowPunct/>
              <w:topLinePunct w:val="0"/>
              <w:bidi w:val="0"/>
              <w:spacing w:beforeAutospacing="0" w:after="0" w:afterAutospacing="0" w:line="276" w:lineRule="auto"/>
              <w:jc w:val="center"/>
              <w:rPr>
                <w:rFonts w:ascii="宋体" w:cs="Arial"/>
                <w:sz w:val="24"/>
                <w:u w:val="single"/>
              </w:rPr>
            </w:pPr>
          </w:p>
        </w:tc>
        <w:tc>
          <w:tcPr>
            <w:tcW w:w="1205" w:type="pct"/>
          </w:tcPr>
          <w:p w14:paraId="05E6DFEB">
            <w:pPr>
              <w:keepNext w:val="0"/>
              <w:keepLines w:val="0"/>
              <w:pageBreakBefore w:val="0"/>
              <w:kinsoku/>
              <w:overflowPunct/>
              <w:topLinePunct w:val="0"/>
              <w:bidi w:val="0"/>
              <w:spacing w:beforeAutospacing="0" w:after="0" w:afterAutospacing="0" w:line="276" w:lineRule="auto"/>
              <w:rPr>
                <w:rFonts w:ascii="宋体" w:cs="Arial"/>
                <w:sz w:val="24"/>
              </w:rPr>
            </w:pPr>
          </w:p>
        </w:tc>
      </w:tr>
      <w:tr w14:paraId="25A3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435" w:type="pct"/>
          </w:tcPr>
          <w:p w14:paraId="479EBF0F">
            <w:pPr>
              <w:keepNext w:val="0"/>
              <w:keepLines w:val="0"/>
              <w:pageBreakBefore w:val="0"/>
              <w:kinsoku/>
              <w:overflowPunct/>
              <w:topLinePunct w:val="0"/>
              <w:bidi w:val="0"/>
              <w:spacing w:beforeAutospacing="0" w:after="0" w:afterAutospacing="0" w:line="360" w:lineRule="auto"/>
              <w:jc w:val="center"/>
              <w:rPr>
                <w:rFonts w:ascii="宋体" w:hAnsi="宋体" w:cs="Arial"/>
                <w:sz w:val="24"/>
              </w:rPr>
            </w:pPr>
            <w:r>
              <w:rPr>
                <w:rFonts w:hint="eastAsia" w:ascii="宋体" w:hAnsi="宋体" w:cs="Arial"/>
                <w:sz w:val="24"/>
              </w:rPr>
              <w:t>4</w:t>
            </w:r>
          </w:p>
        </w:tc>
        <w:tc>
          <w:tcPr>
            <w:tcW w:w="1740" w:type="pct"/>
          </w:tcPr>
          <w:p w14:paraId="5483F5B2">
            <w:pPr>
              <w:keepNext w:val="0"/>
              <w:keepLines w:val="0"/>
              <w:pageBreakBefore w:val="0"/>
              <w:kinsoku/>
              <w:overflowPunct/>
              <w:topLinePunct w:val="0"/>
              <w:bidi w:val="0"/>
              <w:spacing w:beforeAutospacing="0" w:after="0" w:afterAutospacing="0" w:line="276" w:lineRule="auto"/>
              <w:rPr>
                <w:rFonts w:ascii="宋体" w:cs="Arial"/>
                <w:sz w:val="24"/>
              </w:rPr>
            </w:pPr>
          </w:p>
        </w:tc>
        <w:tc>
          <w:tcPr>
            <w:tcW w:w="764" w:type="pct"/>
          </w:tcPr>
          <w:p w14:paraId="73597D0F">
            <w:pPr>
              <w:keepNext w:val="0"/>
              <w:keepLines w:val="0"/>
              <w:pageBreakBefore w:val="0"/>
              <w:kinsoku/>
              <w:overflowPunct/>
              <w:topLinePunct w:val="0"/>
              <w:bidi w:val="0"/>
              <w:spacing w:beforeAutospacing="0" w:after="0" w:afterAutospacing="0" w:line="276" w:lineRule="auto"/>
              <w:rPr>
                <w:rFonts w:ascii="宋体" w:cs="Arial"/>
                <w:sz w:val="24"/>
              </w:rPr>
            </w:pPr>
          </w:p>
        </w:tc>
        <w:tc>
          <w:tcPr>
            <w:tcW w:w="854" w:type="pct"/>
          </w:tcPr>
          <w:p w14:paraId="6912F956">
            <w:pPr>
              <w:keepNext w:val="0"/>
              <w:keepLines w:val="0"/>
              <w:pageBreakBefore w:val="0"/>
              <w:kinsoku/>
              <w:overflowPunct/>
              <w:topLinePunct w:val="0"/>
              <w:bidi w:val="0"/>
              <w:spacing w:beforeAutospacing="0" w:after="0" w:afterAutospacing="0" w:line="276" w:lineRule="auto"/>
              <w:jc w:val="center"/>
              <w:rPr>
                <w:rFonts w:ascii="宋体" w:cs="Arial"/>
                <w:sz w:val="24"/>
                <w:u w:val="single"/>
              </w:rPr>
            </w:pPr>
          </w:p>
        </w:tc>
        <w:tc>
          <w:tcPr>
            <w:tcW w:w="1205" w:type="pct"/>
          </w:tcPr>
          <w:p w14:paraId="10181164">
            <w:pPr>
              <w:keepNext w:val="0"/>
              <w:keepLines w:val="0"/>
              <w:pageBreakBefore w:val="0"/>
              <w:kinsoku/>
              <w:overflowPunct/>
              <w:topLinePunct w:val="0"/>
              <w:bidi w:val="0"/>
              <w:spacing w:beforeAutospacing="0" w:after="0" w:afterAutospacing="0" w:line="276" w:lineRule="auto"/>
              <w:rPr>
                <w:rFonts w:ascii="宋体" w:cs="Arial"/>
                <w:sz w:val="24"/>
              </w:rPr>
            </w:pPr>
          </w:p>
        </w:tc>
      </w:tr>
      <w:tr w14:paraId="44019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435" w:type="pct"/>
          </w:tcPr>
          <w:p w14:paraId="769818EA">
            <w:pPr>
              <w:keepNext w:val="0"/>
              <w:keepLines w:val="0"/>
              <w:pageBreakBefore w:val="0"/>
              <w:kinsoku/>
              <w:overflowPunct/>
              <w:topLinePunct w:val="0"/>
              <w:bidi w:val="0"/>
              <w:spacing w:beforeAutospacing="0" w:after="0" w:afterAutospacing="0" w:line="360" w:lineRule="auto"/>
              <w:jc w:val="center"/>
              <w:rPr>
                <w:rFonts w:ascii="宋体" w:hAnsi="宋体" w:cs="Arial"/>
                <w:sz w:val="24"/>
              </w:rPr>
            </w:pPr>
            <w:r>
              <w:rPr>
                <w:rFonts w:hint="eastAsia" w:ascii="宋体" w:hAnsi="宋体" w:cs="Arial"/>
                <w:sz w:val="24"/>
              </w:rPr>
              <w:t>5</w:t>
            </w:r>
          </w:p>
        </w:tc>
        <w:tc>
          <w:tcPr>
            <w:tcW w:w="1740" w:type="pct"/>
          </w:tcPr>
          <w:p w14:paraId="697C6285">
            <w:pPr>
              <w:keepNext w:val="0"/>
              <w:keepLines w:val="0"/>
              <w:pageBreakBefore w:val="0"/>
              <w:kinsoku/>
              <w:overflowPunct/>
              <w:topLinePunct w:val="0"/>
              <w:bidi w:val="0"/>
              <w:spacing w:beforeAutospacing="0" w:after="0" w:afterAutospacing="0" w:line="276" w:lineRule="auto"/>
              <w:rPr>
                <w:rFonts w:ascii="宋体" w:hAnsi="宋体"/>
                <w:sz w:val="24"/>
              </w:rPr>
            </w:pPr>
          </w:p>
        </w:tc>
        <w:tc>
          <w:tcPr>
            <w:tcW w:w="764" w:type="pct"/>
          </w:tcPr>
          <w:p w14:paraId="5BAF5568">
            <w:pPr>
              <w:keepNext w:val="0"/>
              <w:keepLines w:val="0"/>
              <w:pageBreakBefore w:val="0"/>
              <w:kinsoku/>
              <w:overflowPunct/>
              <w:topLinePunct w:val="0"/>
              <w:bidi w:val="0"/>
              <w:spacing w:beforeAutospacing="0" w:after="0" w:afterAutospacing="0" w:line="276" w:lineRule="auto"/>
              <w:rPr>
                <w:rFonts w:ascii="宋体" w:cs="Arial"/>
                <w:sz w:val="24"/>
              </w:rPr>
            </w:pPr>
          </w:p>
        </w:tc>
        <w:tc>
          <w:tcPr>
            <w:tcW w:w="854" w:type="pct"/>
          </w:tcPr>
          <w:p w14:paraId="4F011247">
            <w:pPr>
              <w:keepNext w:val="0"/>
              <w:keepLines w:val="0"/>
              <w:pageBreakBefore w:val="0"/>
              <w:kinsoku/>
              <w:overflowPunct/>
              <w:topLinePunct w:val="0"/>
              <w:bidi w:val="0"/>
              <w:spacing w:beforeAutospacing="0" w:after="0" w:afterAutospacing="0" w:line="276" w:lineRule="auto"/>
              <w:rPr>
                <w:rFonts w:ascii="宋体" w:hAnsi="宋体" w:cs="Arial"/>
                <w:sz w:val="24"/>
                <w:u w:val="single"/>
              </w:rPr>
            </w:pPr>
          </w:p>
        </w:tc>
        <w:tc>
          <w:tcPr>
            <w:tcW w:w="1205" w:type="pct"/>
          </w:tcPr>
          <w:p w14:paraId="402EE23B">
            <w:pPr>
              <w:keepNext w:val="0"/>
              <w:keepLines w:val="0"/>
              <w:pageBreakBefore w:val="0"/>
              <w:kinsoku/>
              <w:overflowPunct/>
              <w:topLinePunct w:val="0"/>
              <w:bidi w:val="0"/>
              <w:spacing w:beforeAutospacing="0" w:after="0" w:afterAutospacing="0" w:line="276" w:lineRule="auto"/>
              <w:rPr>
                <w:rFonts w:ascii="宋体" w:hAnsi="宋体" w:cs="Arial"/>
                <w:sz w:val="24"/>
              </w:rPr>
            </w:pPr>
          </w:p>
        </w:tc>
      </w:tr>
      <w:tr w14:paraId="4D40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5000" w:type="pct"/>
            <w:gridSpan w:val="5"/>
          </w:tcPr>
          <w:p w14:paraId="1330A863">
            <w:pPr>
              <w:keepNext w:val="0"/>
              <w:keepLines w:val="0"/>
              <w:pageBreakBefore w:val="0"/>
              <w:kinsoku/>
              <w:overflowPunct/>
              <w:topLinePunct w:val="0"/>
              <w:bidi w:val="0"/>
              <w:spacing w:beforeAutospacing="0" w:after="0" w:afterAutospacing="0" w:line="276" w:lineRule="auto"/>
              <w:rPr>
                <w:rFonts w:ascii="宋体" w:hAnsi="宋体" w:cs="Arial"/>
                <w:sz w:val="24"/>
              </w:rPr>
            </w:pPr>
            <w:r>
              <w:rPr>
                <w:rFonts w:hint="eastAsia" w:ascii="宋体" w:hAnsi="宋体"/>
                <w:sz w:val="24"/>
              </w:rPr>
              <w:t>总计金额大写（人民币）：                                   ￥：</w:t>
            </w:r>
          </w:p>
        </w:tc>
      </w:tr>
    </w:tbl>
    <w:p w14:paraId="1C07E731">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rPr>
      </w:pPr>
      <w:r>
        <w:rPr>
          <w:rFonts w:hint="eastAsia" w:ascii="宋体" w:hAnsi="宋体" w:cs="宋体"/>
          <w:sz w:val="24"/>
        </w:rPr>
        <w:t>注:</w:t>
      </w:r>
    </w:p>
    <w:p w14:paraId="4648BEBA">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rPr>
      </w:pPr>
      <w:r>
        <w:rPr>
          <w:rFonts w:hint="eastAsia" w:ascii="宋体" w:hAnsi="宋体" w:cs="宋体"/>
          <w:sz w:val="24"/>
        </w:rPr>
        <w:t>1、报价一经涂改，应在涂改处加盖单位公章或者由法定代表人或授权委托人签字或盖章，否则其投标作无效标处理。</w:t>
      </w:r>
    </w:p>
    <w:p w14:paraId="6EF90EFB">
      <w:pPr>
        <w:keepNext w:val="0"/>
        <w:keepLines w:val="0"/>
        <w:pageBreakBefore w:val="0"/>
        <w:kinsoku/>
        <w:overflowPunct/>
        <w:topLinePunct w:val="0"/>
        <w:bidi w:val="0"/>
        <w:spacing w:beforeAutospacing="0" w:after="0" w:afterAutospacing="0" w:line="360" w:lineRule="auto"/>
        <w:ind w:firstLine="480" w:firstLineChars="200"/>
        <w:jc w:val="left"/>
        <w:rPr>
          <w:rFonts w:ascii="宋体" w:hAnsi="宋体" w:cs="宋体"/>
          <w:sz w:val="24"/>
          <w:szCs w:val="24"/>
        </w:rPr>
      </w:pPr>
      <w:r>
        <w:rPr>
          <w:rFonts w:hint="eastAsia" w:ascii="宋体" w:hAnsi="宋体" w:cs="宋体"/>
          <w:sz w:val="24"/>
        </w:rPr>
        <w:t>2、</w:t>
      </w:r>
      <w:r>
        <w:rPr>
          <w:rFonts w:hint="eastAsia" w:ascii="宋体" w:hAnsi="宋体" w:cs="宋体"/>
          <w:bCs/>
          <w:sz w:val="24"/>
        </w:rPr>
        <w:t>投标人所报的</w:t>
      </w:r>
      <w:r>
        <w:rPr>
          <w:rFonts w:hint="eastAsia" w:ascii="宋体" w:hAnsi="宋体" w:cs="宋体"/>
          <w:sz w:val="24"/>
          <w:szCs w:val="24"/>
        </w:rPr>
        <w:t>投标报价应当包括产品购置、</w:t>
      </w:r>
      <w:r>
        <w:rPr>
          <w:rFonts w:hint="eastAsia" w:ascii="宋体" w:hAnsi="宋体" w:cs="宋体"/>
          <w:sz w:val="24"/>
          <w:szCs w:val="24"/>
          <w:lang w:val="zh-CN"/>
        </w:rPr>
        <w:t>人员</w:t>
      </w:r>
      <w:r>
        <w:rPr>
          <w:rFonts w:hint="eastAsia" w:ascii="宋体" w:hAnsi="宋体" w:cs="宋体"/>
          <w:sz w:val="24"/>
          <w:szCs w:val="24"/>
        </w:rPr>
        <w:t>劳务</w:t>
      </w:r>
      <w:r>
        <w:rPr>
          <w:rFonts w:hint="eastAsia" w:ascii="宋体" w:hAnsi="宋体" w:cs="宋体"/>
          <w:sz w:val="24"/>
          <w:szCs w:val="24"/>
          <w:lang w:val="zh-CN"/>
        </w:rPr>
        <w:t>、材料消耗、</w:t>
      </w:r>
      <w:r>
        <w:rPr>
          <w:rFonts w:hint="eastAsia" w:ascii="宋体" w:hAnsi="宋体" w:cs="宋体"/>
          <w:sz w:val="24"/>
          <w:szCs w:val="24"/>
        </w:rPr>
        <w:t>方案评审、灯具安装</w:t>
      </w:r>
      <w:r>
        <w:rPr>
          <w:rFonts w:hint="eastAsia" w:ascii="宋体" w:hAnsi="宋体" w:cs="宋体"/>
          <w:sz w:val="24"/>
          <w:szCs w:val="24"/>
          <w:lang w:val="zh-CN"/>
        </w:rPr>
        <w:t>、综合验收、</w:t>
      </w:r>
      <w:r>
        <w:rPr>
          <w:rFonts w:hint="eastAsia" w:ascii="宋体" w:hAnsi="宋体" w:cs="宋体"/>
          <w:sz w:val="24"/>
          <w:szCs w:val="24"/>
        </w:rPr>
        <w:t>售后服务、保险、税收等所有费用及安全措施费用，投标人应当预知本项目实施过程中可能会有的政策性文件规定和合同包含的所有风险，并承担相应的责任。投标报价为投标方所能承受的整个项目最终一次性报价，如有漏项，视同已包含在其它项目中，合同总价不做调整。</w:t>
      </w:r>
    </w:p>
    <w:p w14:paraId="701302AF">
      <w:pPr>
        <w:keepNext w:val="0"/>
        <w:keepLines w:val="0"/>
        <w:pageBreakBefore w:val="0"/>
        <w:kinsoku/>
        <w:overflowPunct/>
        <w:topLinePunct w:val="0"/>
        <w:bidi w:val="0"/>
        <w:spacing w:beforeAutospacing="0" w:after="0" w:afterAutospacing="0" w:line="360" w:lineRule="auto"/>
        <w:ind w:firstLine="480" w:firstLineChars="200"/>
        <w:rPr>
          <w:rFonts w:ascii="宋体" w:hAnsi="宋体"/>
          <w:sz w:val="24"/>
        </w:rPr>
      </w:pPr>
      <w:r>
        <w:rPr>
          <w:rFonts w:hint="eastAsia" w:ascii="宋体" w:hAnsi="宋体"/>
          <w:sz w:val="24"/>
        </w:rPr>
        <w:t>3、此表格式不得改变。</w:t>
      </w:r>
    </w:p>
    <w:p w14:paraId="5060514E">
      <w:pPr>
        <w:pStyle w:val="15"/>
        <w:keepNext w:val="0"/>
        <w:keepLines w:val="0"/>
        <w:pageBreakBefore w:val="0"/>
        <w:kinsoku/>
        <w:overflowPunct/>
        <w:topLinePunct w:val="0"/>
        <w:bidi w:val="0"/>
        <w:spacing w:beforeAutospacing="0" w:after="0" w:afterAutospacing="0"/>
        <w:rPr>
          <w:rFonts w:ascii="宋体" w:hAnsi="宋体"/>
          <w:sz w:val="24"/>
        </w:rPr>
      </w:pPr>
    </w:p>
    <w:p w14:paraId="27B9AC05">
      <w:pPr>
        <w:keepNext w:val="0"/>
        <w:keepLines w:val="0"/>
        <w:pageBreakBefore w:val="0"/>
        <w:kinsoku/>
        <w:overflowPunct/>
        <w:topLinePunct w:val="0"/>
        <w:bidi w:val="0"/>
        <w:spacing w:beforeAutospacing="0" w:after="0" w:afterAutospacing="0"/>
        <w:rPr>
          <w:rFonts w:ascii="宋体" w:hAnsi="宋体"/>
          <w:sz w:val="24"/>
        </w:rPr>
      </w:pPr>
    </w:p>
    <w:p w14:paraId="4321F85B">
      <w:pPr>
        <w:pStyle w:val="15"/>
        <w:keepNext w:val="0"/>
        <w:keepLines w:val="0"/>
        <w:pageBreakBefore w:val="0"/>
        <w:kinsoku/>
        <w:overflowPunct/>
        <w:topLinePunct w:val="0"/>
        <w:bidi w:val="0"/>
        <w:spacing w:beforeAutospacing="0" w:after="0" w:afterAutospacing="0"/>
      </w:pPr>
    </w:p>
    <w:p w14:paraId="048ED87E">
      <w:pPr>
        <w:keepNext w:val="0"/>
        <w:keepLines w:val="0"/>
        <w:pageBreakBefore w:val="0"/>
        <w:kinsoku/>
        <w:overflowPunct/>
        <w:topLinePunct w:val="0"/>
        <w:bidi w:val="0"/>
        <w:snapToGrid w:val="0"/>
        <w:spacing w:beforeAutospacing="0" w:after="0" w:afterAutospacing="0"/>
        <w:ind w:left="-3" w:leftChars="-72" w:right="-817" w:rightChars="-389" w:hanging="148" w:hangingChars="62"/>
        <w:rPr>
          <w:rFonts w:ascii="宋体"/>
          <w:sz w:val="24"/>
        </w:rPr>
      </w:pPr>
    </w:p>
    <w:p w14:paraId="2C8DEDEF">
      <w:pPr>
        <w:keepNext w:val="0"/>
        <w:keepLines w:val="0"/>
        <w:pageBreakBefore w:val="0"/>
        <w:kinsoku/>
        <w:overflowPunct/>
        <w:topLinePunct w:val="0"/>
        <w:bidi w:val="0"/>
        <w:snapToGrid w:val="0"/>
        <w:spacing w:beforeAutospacing="0" w:after="0" w:afterAutospacing="0"/>
        <w:ind w:left="88" w:leftChars="42" w:right="-817" w:rightChars="-389" w:firstLine="328" w:firstLineChars="137"/>
        <w:rPr>
          <w:rFonts w:ascii="宋体"/>
          <w:sz w:val="24"/>
        </w:rPr>
      </w:pPr>
      <w:r>
        <w:rPr>
          <w:rFonts w:hint="eastAsia" w:ascii="宋体"/>
          <w:sz w:val="24"/>
        </w:rPr>
        <w:t>法定代表人或委托代理人（签字或盖章）：</w:t>
      </w:r>
    </w:p>
    <w:p w14:paraId="3844FB73">
      <w:pPr>
        <w:keepNext w:val="0"/>
        <w:keepLines w:val="0"/>
        <w:pageBreakBefore w:val="0"/>
        <w:kinsoku/>
        <w:overflowPunct/>
        <w:topLinePunct w:val="0"/>
        <w:bidi w:val="0"/>
        <w:snapToGrid w:val="0"/>
        <w:spacing w:beforeAutospacing="0" w:after="0" w:afterAutospacing="0"/>
        <w:ind w:right="-817" w:rightChars="-389"/>
        <w:rPr>
          <w:rFonts w:ascii="宋体"/>
          <w:sz w:val="24"/>
          <w:szCs w:val="20"/>
        </w:rPr>
      </w:pPr>
    </w:p>
    <w:p w14:paraId="35F888CB">
      <w:pPr>
        <w:keepNext w:val="0"/>
        <w:keepLines w:val="0"/>
        <w:pageBreakBefore w:val="0"/>
        <w:kinsoku/>
        <w:overflowPunct/>
        <w:topLinePunct w:val="0"/>
        <w:bidi w:val="0"/>
        <w:snapToGrid w:val="0"/>
        <w:spacing w:beforeAutospacing="0" w:after="0" w:afterAutospacing="0"/>
        <w:ind w:left="88" w:leftChars="42" w:right="-817" w:rightChars="-389" w:firstLine="328" w:firstLineChars="137"/>
        <w:rPr>
          <w:rFonts w:ascii="宋体"/>
          <w:sz w:val="24"/>
        </w:rPr>
      </w:pPr>
      <w:r>
        <w:rPr>
          <w:rFonts w:hint="eastAsia" w:ascii="宋体"/>
          <w:sz w:val="24"/>
        </w:rPr>
        <w:t xml:space="preserve">投标人名称（盖章）：                                          </w:t>
      </w:r>
    </w:p>
    <w:p w14:paraId="6629AEA1">
      <w:pPr>
        <w:keepNext w:val="0"/>
        <w:keepLines w:val="0"/>
        <w:pageBreakBefore w:val="0"/>
        <w:kinsoku/>
        <w:overflowPunct/>
        <w:topLinePunct w:val="0"/>
        <w:bidi w:val="0"/>
        <w:snapToGrid w:val="0"/>
        <w:spacing w:beforeAutospacing="0" w:after="0" w:afterAutospacing="0" w:line="360" w:lineRule="auto"/>
        <w:ind w:left="-2" w:leftChars="-1" w:right="-817" w:rightChars="-389" w:firstLine="5880" w:firstLineChars="2450"/>
        <w:rPr>
          <w:rFonts w:ascii="宋体"/>
          <w:sz w:val="24"/>
        </w:rPr>
      </w:pPr>
    </w:p>
    <w:p w14:paraId="3EF61053">
      <w:pPr>
        <w:keepNext w:val="0"/>
        <w:keepLines w:val="0"/>
        <w:pageBreakBefore w:val="0"/>
        <w:kinsoku/>
        <w:overflowPunct/>
        <w:topLinePunct w:val="0"/>
        <w:bidi w:val="0"/>
        <w:snapToGrid w:val="0"/>
        <w:spacing w:beforeAutospacing="0" w:after="0" w:afterAutospacing="0" w:line="360" w:lineRule="auto"/>
        <w:ind w:left="-2" w:leftChars="-1" w:right="-817" w:rightChars="-389" w:firstLine="5880" w:firstLineChars="2450"/>
        <w:rPr>
          <w:rFonts w:ascii="宋体"/>
          <w:sz w:val="24"/>
        </w:rPr>
      </w:pPr>
      <w:r>
        <w:rPr>
          <w:rFonts w:hint="eastAsia" w:ascii="宋体"/>
          <w:sz w:val="24"/>
        </w:rPr>
        <w:t>日期：    年   月   日</w:t>
      </w:r>
    </w:p>
    <w:p w14:paraId="5E4925C2">
      <w:pPr>
        <w:keepNext w:val="0"/>
        <w:keepLines w:val="0"/>
        <w:pageBreakBefore w:val="0"/>
        <w:kinsoku/>
        <w:overflowPunct/>
        <w:topLinePunct w:val="0"/>
        <w:bidi w:val="0"/>
        <w:spacing w:beforeAutospacing="0" w:after="0" w:afterAutospacing="0"/>
        <w:rPr>
          <w:rFonts w:ascii="宋体"/>
          <w:sz w:val="24"/>
        </w:rPr>
      </w:pPr>
      <w:r>
        <w:rPr>
          <w:rFonts w:hint="eastAsia" w:ascii="宋体"/>
          <w:sz w:val="24"/>
        </w:rPr>
        <w:br w:type="page"/>
      </w:r>
    </w:p>
    <w:p w14:paraId="7B3642D6">
      <w:pPr>
        <w:keepNext w:val="0"/>
        <w:keepLines w:val="0"/>
        <w:pageBreakBefore w:val="0"/>
        <w:kinsoku/>
        <w:overflowPunct/>
        <w:topLinePunct w:val="0"/>
        <w:bidi w:val="0"/>
        <w:snapToGrid w:val="0"/>
        <w:spacing w:beforeAutospacing="0" w:after="0" w:afterAutospacing="0" w:line="360" w:lineRule="auto"/>
        <w:ind w:right="-817" w:rightChars="-389"/>
        <w:rPr>
          <w:rFonts w:ascii="宋体" w:hAnsi="宋体"/>
          <w:b/>
          <w:color w:val="000000"/>
          <w:sz w:val="24"/>
        </w:rPr>
      </w:pPr>
      <w:r>
        <w:rPr>
          <w:rFonts w:hint="eastAsia" w:ascii="宋体" w:hAnsi="宋体"/>
          <w:b/>
          <w:color w:val="0D0D0D"/>
          <w:sz w:val="24"/>
        </w:rPr>
        <w:t>附件6、项目验收单及附件格式：</w:t>
      </w:r>
    </w:p>
    <w:p w14:paraId="34D4C50A">
      <w:pPr>
        <w:keepNext w:val="0"/>
        <w:keepLines w:val="0"/>
        <w:pageBreakBefore w:val="0"/>
        <w:kinsoku/>
        <w:overflowPunct/>
        <w:topLinePunct w:val="0"/>
        <w:bidi w:val="0"/>
        <w:spacing w:beforeAutospacing="0" w:after="0" w:afterAutospacing="0"/>
        <w:jc w:val="center"/>
        <w:rPr>
          <w:rFonts w:hAnsi="宋体"/>
          <w:b/>
          <w:sz w:val="44"/>
          <w:szCs w:val="44"/>
        </w:rPr>
      </w:pPr>
      <w:r>
        <w:rPr>
          <w:rFonts w:hint="eastAsia" w:hAnsi="宋体"/>
          <w:b/>
          <w:sz w:val="44"/>
          <w:szCs w:val="44"/>
        </w:rPr>
        <w:t>政府采购项目初验报告</w:t>
      </w:r>
    </w:p>
    <w:tbl>
      <w:tblPr>
        <w:tblStyle w:val="49"/>
        <w:tblW w:w="8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821"/>
        <w:gridCol w:w="1973"/>
        <w:gridCol w:w="907"/>
        <w:gridCol w:w="1015"/>
        <w:gridCol w:w="989"/>
        <w:gridCol w:w="900"/>
        <w:gridCol w:w="360"/>
        <w:gridCol w:w="1180"/>
      </w:tblGrid>
      <w:tr w14:paraId="570F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1650" w:type="dxa"/>
            <w:gridSpan w:val="2"/>
            <w:tcBorders>
              <w:top w:val="single" w:color="auto" w:sz="6" w:space="0"/>
              <w:left w:val="single" w:color="auto" w:sz="6" w:space="0"/>
              <w:right w:val="single" w:color="auto" w:sz="6" w:space="0"/>
            </w:tcBorders>
            <w:vAlign w:val="center"/>
          </w:tcPr>
          <w:p w14:paraId="2B30E8E7">
            <w:pPr>
              <w:keepNext w:val="0"/>
              <w:keepLines w:val="0"/>
              <w:pageBreakBefore w:val="0"/>
              <w:kinsoku/>
              <w:overflowPunct/>
              <w:topLinePunct w:val="0"/>
              <w:bidi w:val="0"/>
              <w:spacing w:beforeAutospacing="0" w:after="0" w:afterAutospacing="0"/>
              <w:rPr>
                <w:b/>
              </w:rPr>
            </w:pPr>
            <w:r>
              <w:rPr>
                <w:rFonts w:hint="eastAsia" w:hAnsi="宋体"/>
                <w:b/>
              </w:rPr>
              <w:t>采购</w:t>
            </w:r>
            <w:r>
              <w:rPr>
                <w:rFonts w:hAnsi="宋体"/>
                <w:b/>
              </w:rPr>
              <w:t>项目名称</w:t>
            </w:r>
          </w:p>
        </w:tc>
        <w:tc>
          <w:tcPr>
            <w:tcW w:w="2880" w:type="dxa"/>
            <w:gridSpan w:val="2"/>
            <w:tcBorders>
              <w:top w:val="single" w:color="auto" w:sz="6" w:space="0"/>
              <w:left w:val="single" w:color="auto" w:sz="6" w:space="0"/>
              <w:right w:val="single" w:color="auto" w:sz="6" w:space="0"/>
            </w:tcBorders>
            <w:vAlign w:val="center"/>
          </w:tcPr>
          <w:p w14:paraId="4F88608D">
            <w:pPr>
              <w:keepNext w:val="0"/>
              <w:keepLines w:val="0"/>
              <w:pageBreakBefore w:val="0"/>
              <w:kinsoku/>
              <w:overflowPunct/>
              <w:topLinePunct w:val="0"/>
              <w:bidi w:val="0"/>
              <w:spacing w:beforeAutospacing="0" w:after="0" w:afterAutospacing="0"/>
              <w:jc w:val="center"/>
              <w:rPr>
                <w:sz w:val="18"/>
                <w:szCs w:val="18"/>
              </w:rPr>
            </w:pPr>
          </w:p>
        </w:tc>
        <w:tc>
          <w:tcPr>
            <w:tcW w:w="2004" w:type="dxa"/>
            <w:gridSpan w:val="2"/>
            <w:tcBorders>
              <w:top w:val="single" w:color="auto" w:sz="6" w:space="0"/>
              <w:left w:val="single" w:color="auto" w:sz="6" w:space="0"/>
              <w:right w:val="single" w:color="auto" w:sz="4" w:space="0"/>
            </w:tcBorders>
            <w:vAlign w:val="center"/>
          </w:tcPr>
          <w:p w14:paraId="35D962AC">
            <w:pPr>
              <w:keepNext w:val="0"/>
              <w:keepLines w:val="0"/>
              <w:pageBreakBefore w:val="0"/>
              <w:kinsoku/>
              <w:overflowPunct/>
              <w:topLinePunct w:val="0"/>
              <w:bidi w:val="0"/>
              <w:spacing w:beforeAutospacing="0" w:after="0" w:afterAutospacing="0"/>
              <w:jc w:val="center"/>
              <w:rPr>
                <w:b/>
              </w:rPr>
            </w:pPr>
            <w:r>
              <w:rPr>
                <w:rFonts w:hint="eastAsia"/>
                <w:b/>
              </w:rPr>
              <w:t>采购项目编号</w:t>
            </w:r>
          </w:p>
        </w:tc>
        <w:tc>
          <w:tcPr>
            <w:tcW w:w="2440" w:type="dxa"/>
            <w:gridSpan w:val="3"/>
            <w:tcBorders>
              <w:top w:val="single" w:color="auto" w:sz="6" w:space="0"/>
              <w:left w:val="single" w:color="auto" w:sz="4" w:space="0"/>
              <w:right w:val="single" w:color="auto" w:sz="6" w:space="0"/>
            </w:tcBorders>
            <w:vAlign w:val="center"/>
          </w:tcPr>
          <w:p w14:paraId="566F40C0">
            <w:pPr>
              <w:keepNext w:val="0"/>
              <w:keepLines w:val="0"/>
              <w:pageBreakBefore w:val="0"/>
              <w:kinsoku/>
              <w:overflowPunct/>
              <w:topLinePunct w:val="0"/>
              <w:bidi w:val="0"/>
              <w:spacing w:beforeAutospacing="0" w:after="0" w:afterAutospacing="0"/>
              <w:jc w:val="center"/>
            </w:pPr>
          </w:p>
        </w:tc>
      </w:tr>
      <w:tr w14:paraId="445D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1650" w:type="dxa"/>
            <w:gridSpan w:val="2"/>
            <w:tcBorders>
              <w:top w:val="single" w:color="auto" w:sz="6" w:space="0"/>
              <w:left w:val="single" w:color="auto" w:sz="6" w:space="0"/>
              <w:right w:val="single" w:color="auto" w:sz="6" w:space="0"/>
            </w:tcBorders>
            <w:vAlign w:val="center"/>
          </w:tcPr>
          <w:p w14:paraId="4E4024B4">
            <w:pPr>
              <w:keepNext w:val="0"/>
              <w:keepLines w:val="0"/>
              <w:pageBreakBefore w:val="0"/>
              <w:kinsoku/>
              <w:overflowPunct/>
              <w:topLinePunct w:val="0"/>
              <w:bidi w:val="0"/>
              <w:spacing w:beforeAutospacing="0" w:after="0" w:afterAutospacing="0"/>
              <w:jc w:val="center"/>
              <w:rPr>
                <w:b/>
              </w:rPr>
            </w:pPr>
            <w:r>
              <w:rPr>
                <w:rFonts w:hint="eastAsia" w:hAnsi="宋体"/>
                <w:b/>
              </w:rPr>
              <w:t>开标时间</w:t>
            </w:r>
          </w:p>
        </w:tc>
        <w:tc>
          <w:tcPr>
            <w:tcW w:w="2880" w:type="dxa"/>
            <w:gridSpan w:val="2"/>
            <w:tcBorders>
              <w:top w:val="single" w:color="auto" w:sz="6" w:space="0"/>
              <w:left w:val="single" w:color="auto" w:sz="6" w:space="0"/>
              <w:right w:val="single" w:color="auto" w:sz="6" w:space="0"/>
            </w:tcBorders>
            <w:vAlign w:val="center"/>
          </w:tcPr>
          <w:p w14:paraId="61D92DF2">
            <w:pPr>
              <w:keepNext w:val="0"/>
              <w:keepLines w:val="0"/>
              <w:pageBreakBefore w:val="0"/>
              <w:kinsoku/>
              <w:overflowPunct/>
              <w:topLinePunct w:val="0"/>
              <w:bidi w:val="0"/>
              <w:spacing w:beforeAutospacing="0" w:after="0" w:afterAutospacing="0"/>
              <w:jc w:val="center"/>
            </w:pPr>
          </w:p>
        </w:tc>
        <w:tc>
          <w:tcPr>
            <w:tcW w:w="2004" w:type="dxa"/>
            <w:gridSpan w:val="2"/>
            <w:tcBorders>
              <w:top w:val="dotted" w:color="auto" w:sz="4" w:space="0"/>
              <w:left w:val="single" w:color="auto" w:sz="6" w:space="0"/>
              <w:right w:val="single" w:color="auto" w:sz="6" w:space="0"/>
            </w:tcBorders>
            <w:vAlign w:val="center"/>
          </w:tcPr>
          <w:p w14:paraId="6AC9ACD0">
            <w:pPr>
              <w:keepNext w:val="0"/>
              <w:keepLines w:val="0"/>
              <w:pageBreakBefore w:val="0"/>
              <w:kinsoku/>
              <w:overflowPunct/>
              <w:topLinePunct w:val="0"/>
              <w:bidi w:val="0"/>
              <w:spacing w:beforeAutospacing="0" w:after="0" w:afterAutospacing="0"/>
              <w:jc w:val="center"/>
              <w:rPr>
                <w:b/>
              </w:rPr>
            </w:pPr>
            <w:r>
              <w:rPr>
                <w:rFonts w:hint="eastAsia"/>
                <w:b/>
              </w:rPr>
              <w:t>验收时间</w:t>
            </w:r>
          </w:p>
        </w:tc>
        <w:tc>
          <w:tcPr>
            <w:tcW w:w="2440" w:type="dxa"/>
            <w:gridSpan w:val="3"/>
            <w:tcBorders>
              <w:top w:val="dotted" w:color="auto" w:sz="4" w:space="0"/>
              <w:left w:val="single" w:color="auto" w:sz="6" w:space="0"/>
              <w:right w:val="single" w:color="auto" w:sz="6" w:space="0"/>
            </w:tcBorders>
            <w:vAlign w:val="center"/>
          </w:tcPr>
          <w:p w14:paraId="544D9D22">
            <w:pPr>
              <w:keepNext w:val="0"/>
              <w:keepLines w:val="0"/>
              <w:pageBreakBefore w:val="0"/>
              <w:kinsoku/>
              <w:overflowPunct/>
              <w:topLinePunct w:val="0"/>
              <w:bidi w:val="0"/>
              <w:spacing w:beforeAutospacing="0" w:after="0" w:afterAutospacing="0"/>
              <w:ind w:firstLine="105" w:firstLineChars="50"/>
              <w:jc w:val="center"/>
            </w:pPr>
          </w:p>
        </w:tc>
      </w:tr>
      <w:tr w14:paraId="53CE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1650" w:type="dxa"/>
            <w:gridSpan w:val="2"/>
            <w:tcBorders>
              <w:top w:val="single" w:color="auto" w:sz="6" w:space="0"/>
              <w:left w:val="single" w:color="auto" w:sz="6" w:space="0"/>
              <w:right w:val="single" w:color="auto" w:sz="6" w:space="0"/>
            </w:tcBorders>
            <w:vAlign w:val="center"/>
          </w:tcPr>
          <w:p w14:paraId="10F8E5FE">
            <w:pPr>
              <w:keepNext w:val="0"/>
              <w:keepLines w:val="0"/>
              <w:pageBreakBefore w:val="0"/>
              <w:kinsoku/>
              <w:overflowPunct/>
              <w:topLinePunct w:val="0"/>
              <w:bidi w:val="0"/>
              <w:spacing w:beforeAutospacing="0" w:after="0" w:afterAutospacing="0"/>
              <w:jc w:val="center"/>
              <w:rPr>
                <w:rFonts w:hAnsi="宋体"/>
                <w:b/>
              </w:rPr>
            </w:pPr>
            <w:r>
              <w:rPr>
                <w:rFonts w:hint="eastAsia" w:hAnsi="宋体"/>
                <w:b/>
              </w:rPr>
              <w:t>采购人名称</w:t>
            </w:r>
          </w:p>
        </w:tc>
        <w:tc>
          <w:tcPr>
            <w:tcW w:w="2880" w:type="dxa"/>
            <w:gridSpan w:val="2"/>
            <w:tcBorders>
              <w:top w:val="single" w:color="auto" w:sz="6" w:space="0"/>
              <w:left w:val="single" w:color="auto" w:sz="6" w:space="0"/>
              <w:right w:val="single" w:color="auto" w:sz="4" w:space="0"/>
            </w:tcBorders>
            <w:vAlign w:val="center"/>
          </w:tcPr>
          <w:p w14:paraId="7213734C">
            <w:pPr>
              <w:keepNext w:val="0"/>
              <w:keepLines w:val="0"/>
              <w:pageBreakBefore w:val="0"/>
              <w:kinsoku/>
              <w:overflowPunct/>
              <w:topLinePunct w:val="0"/>
              <w:bidi w:val="0"/>
              <w:spacing w:beforeAutospacing="0" w:after="0" w:afterAutospacing="0"/>
              <w:jc w:val="center"/>
            </w:pPr>
          </w:p>
        </w:tc>
        <w:tc>
          <w:tcPr>
            <w:tcW w:w="1015" w:type="dxa"/>
            <w:tcBorders>
              <w:top w:val="single" w:color="auto" w:sz="6" w:space="0"/>
              <w:left w:val="single" w:color="auto" w:sz="4" w:space="0"/>
              <w:right w:val="single" w:color="auto" w:sz="4" w:space="0"/>
            </w:tcBorders>
            <w:vAlign w:val="center"/>
          </w:tcPr>
          <w:p w14:paraId="4DE10639">
            <w:pPr>
              <w:keepNext w:val="0"/>
              <w:keepLines w:val="0"/>
              <w:pageBreakBefore w:val="0"/>
              <w:kinsoku/>
              <w:overflowPunct/>
              <w:topLinePunct w:val="0"/>
              <w:bidi w:val="0"/>
              <w:spacing w:beforeAutospacing="0" w:after="0" w:afterAutospacing="0"/>
              <w:ind w:firstLine="105" w:firstLineChars="50"/>
              <w:rPr>
                <w:b/>
              </w:rPr>
            </w:pPr>
            <w:r>
              <w:rPr>
                <w:rFonts w:hint="eastAsia"/>
                <w:b/>
              </w:rPr>
              <w:t>联系人</w:t>
            </w:r>
          </w:p>
        </w:tc>
        <w:tc>
          <w:tcPr>
            <w:tcW w:w="989" w:type="dxa"/>
            <w:tcBorders>
              <w:top w:val="single" w:color="auto" w:sz="6" w:space="0"/>
              <w:left w:val="single" w:color="auto" w:sz="4" w:space="0"/>
              <w:right w:val="single" w:color="auto" w:sz="4" w:space="0"/>
            </w:tcBorders>
            <w:vAlign w:val="center"/>
          </w:tcPr>
          <w:p w14:paraId="079E0A95">
            <w:pPr>
              <w:keepNext w:val="0"/>
              <w:keepLines w:val="0"/>
              <w:pageBreakBefore w:val="0"/>
              <w:kinsoku/>
              <w:overflowPunct/>
              <w:topLinePunct w:val="0"/>
              <w:bidi w:val="0"/>
              <w:spacing w:beforeAutospacing="0" w:after="0" w:afterAutospacing="0"/>
              <w:ind w:firstLine="105" w:firstLineChars="50"/>
            </w:pPr>
          </w:p>
        </w:tc>
        <w:tc>
          <w:tcPr>
            <w:tcW w:w="900" w:type="dxa"/>
            <w:tcBorders>
              <w:top w:val="single" w:color="auto" w:sz="6" w:space="0"/>
              <w:left w:val="single" w:color="auto" w:sz="4" w:space="0"/>
              <w:right w:val="single" w:color="auto" w:sz="4" w:space="0"/>
            </w:tcBorders>
            <w:vAlign w:val="center"/>
          </w:tcPr>
          <w:p w14:paraId="081AD630">
            <w:pPr>
              <w:keepNext w:val="0"/>
              <w:keepLines w:val="0"/>
              <w:pageBreakBefore w:val="0"/>
              <w:kinsoku/>
              <w:overflowPunct/>
              <w:topLinePunct w:val="0"/>
              <w:bidi w:val="0"/>
              <w:spacing w:beforeAutospacing="0" w:after="0" w:afterAutospacing="0"/>
              <w:ind w:firstLine="105" w:firstLineChars="50"/>
              <w:rPr>
                <w:b/>
              </w:rPr>
            </w:pPr>
            <w:r>
              <w:rPr>
                <w:rFonts w:hint="eastAsia"/>
                <w:b/>
              </w:rPr>
              <w:t>电话</w:t>
            </w:r>
          </w:p>
        </w:tc>
        <w:tc>
          <w:tcPr>
            <w:tcW w:w="1540" w:type="dxa"/>
            <w:gridSpan w:val="2"/>
            <w:tcBorders>
              <w:top w:val="single" w:color="auto" w:sz="6" w:space="0"/>
              <w:left w:val="single" w:color="auto" w:sz="4" w:space="0"/>
              <w:right w:val="single" w:color="auto" w:sz="6" w:space="0"/>
            </w:tcBorders>
            <w:vAlign w:val="center"/>
          </w:tcPr>
          <w:p w14:paraId="6019B812">
            <w:pPr>
              <w:keepNext w:val="0"/>
              <w:keepLines w:val="0"/>
              <w:pageBreakBefore w:val="0"/>
              <w:kinsoku/>
              <w:overflowPunct/>
              <w:topLinePunct w:val="0"/>
              <w:bidi w:val="0"/>
              <w:spacing w:beforeAutospacing="0" w:after="0" w:afterAutospacing="0"/>
              <w:ind w:firstLine="105" w:firstLineChars="50"/>
            </w:pPr>
          </w:p>
        </w:tc>
      </w:tr>
      <w:tr w14:paraId="79572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1650" w:type="dxa"/>
            <w:gridSpan w:val="2"/>
            <w:tcBorders>
              <w:top w:val="single" w:color="auto" w:sz="6" w:space="0"/>
              <w:left w:val="single" w:color="auto" w:sz="6" w:space="0"/>
              <w:right w:val="single" w:color="auto" w:sz="6" w:space="0"/>
            </w:tcBorders>
            <w:vAlign w:val="center"/>
          </w:tcPr>
          <w:p w14:paraId="50D6D05A">
            <w:pPr>
              <w:keepNext w:val="0"/>
              <w:keepLines w:val="0"/>
              <w:pageBreakBefore w:val="0"/>
              <w:kinsoku/>
              <w:overflowPunct/>
              <w:topLinePunct w:val="0"/>
              <w:bidi w:val="0"/>
              <w:spacing w:beforeAutospacing="0" w:after="0" w:afterAutospacing="0"/>
              <w:jc w:val="center"/>
              <w:rPr>
                <w:rFonts w:hAnsi="宋体"/>
                <w:b/>
              </w:rPr>
            </w:pPr>
            <w:r>
              <w:rPr>
                <w:rFonts w:hint="eastAsia" w:hAnsi="宋体"/>
                <w:b/>
              </w:rPr>
              <w:t>供应商名称</w:t>
            </w:r>
          </w:p>
        </w:tc>
        <w:tc>
          <w:tcPr>
            <w:tcW w:w="2880" w:type="dxa"/>
            <w:gridSpan w:val="2"/>
            <w:tcBorders>
              <w:top w:val="single" w:color="auto" w:sz="6" w:space="0"/>
              <w:left w:val="single" w:color="auto" w:sz="6" w:space="0"/>
              <w:right w:val="single" w:color="auto" w:sz="4" w:space="0"/>
            </w:tcBorders>
            <w:vAlign w:val="center"/>
          </w:tcPr>
          <w:p w14:paraId="3C49477F">
            <w:pPr>
              <w:keepNext w:val="0"/>
              <w:keepLines w:val="0"/>
              <w:pageBreakBefore w:val="0"/>
              <w:kinsoku/>
              <w:overflowPunct/>
              <w:topLinePunct w:val="0"/>
              <w:bidi w:val="0"/>
              <w:spacing w:beforeAutospacing="0" w:after="0" w:afterAutospacing="0"/>
              <w:jc w:val="center"/>
            </w:pPr>
          </w:p>
        </w:tc>
        <w:tc>
          <w:tcPr>
            <w:tcW w:w="1015" w:type="dxa"/>
            <w:tcBorders>
              <w:top w:val="single" w:color="auto" w:sz="6" w:space="0"/>
              <w:left w:val="single" w:color="auto" w:sz="4" w:space="0"/>
              <w:right w:val="single" w:color="auto" w:sz="4" w:space="0"/>
            </w:tcBorders>
            <w:vAlign w:val="center"/>
          </w:tcPr>
          <w:p w14:paraId="1FD00ED5">
            <w:pPr>
              <w:keepNext w:val="0"/>
              <w:keepLines w:val="0"/>
              <w:pageBreakBefore w:val="0"/>
              <w:kinsoku/>
              <w:overflowPunct/>
              <w:topLinePunct w:val="0"/>
              <w:bidi w:val="0"/>
              <w:spacing w:beforeAutospacing="0" w:after="0" w:afterAutospacing="0"/>
              <w:ind w:firstLine="105" w:firstLineChars="50"/>
              <w:rPr>
                <w:b/>
              </w:rPr>
            </w:pPr>
            <w:r>
              <w:rPr>
                <w:rFonts w:hint="eastAsia"/>
                <w:b/>
              </w:rPr>
              <w:t>联系人</w:t>
            </w:r>
          </w:p>
        </w:tc>
        <w:tc>
          <w:tcPr>
            <w:tcW w:w="989" w:type="dxa"/>
            <w:tcBorders>
              <w:top w:val="single" w:color="auto" w:sz="6" w:space="0"/>
              <w:left w:val="single" w:color="auto" w:sz="4" w:space="0"/>
              <w:right w:val="single" w:color="auto" w:sz="4" w:space="0"/>
            </w:tcBorders>
            <w:vAlign w:val="center"/>
          </w:tcPr>
          <w:p w14:paraId="2E45F87C">
            <w:pPr>
              <w:keepNext w:val="0"/>
              <w:keepLines w:val="0"/>
              <w:pageBreakBefore w:val="0"/>
              <w:kinsoku/>
              <w:overflowPunct/>
              <w:topLinePunct w:val="0"/>
              <w:bidi w:val="0"/>
              <w:spacing w:beforeAutospacing="0" w:after="0" w:afterAutospacing="0"/>
              <w:ind w:firstLine="105" w:firstLineChars="50"/>
            </w:pPr>
          </w:p>
        </w:tc>
        <w:tc>
          <w:tcPr>
            <w:tcW w:w="900" w:type="dxa"/>
            <w:tcBorders>
              <w:top w:val="single" w:color="auto" w:sz="6" w:space="0"/>
              <w:left w:val="single" w:color="auto" w:sz="4" w:space="0"/>
              <w:right w:val="single" w:color="auto" w:sz="4" w:space="0"/>
            </w:tcBorders>
            <w:vAlign w:val="center"/>
          </w:tcPr>
          <w:p w14:paraId="737C7E74">
            <w:pPr>
              <w:keepNext w:val="0"/>
              <w:keepLines w:val="0"/>
              <w:pageBreakBefore w:val="0"/>
              <w:kinsoku/>
              <w:overflowPunct/>
              <w:topLinePunct w:val="0"/>
              <w:bidi w:val="0"/>
              <w:spacing w:beforeAutospacing="0" w:after="0" w:afterAutospacing="0"/>
              <w:ind w:firstLine="105" w:firstLineChars="50"/>
              <w:rPr>
                <w:b/>
              </w:rPr>
            </w:pPr>
            <w:r>
              <w:rPr>
                <w:rFonts w:hint="eastAsia"/>
                <w:b/>
              </w:rPr>
              <w:t>电话</w:t>
            </w:r>
          </w:p>
        </w:tc>
        <w:tc>
          <w:tcPr>
            <w:tcW w:w="1540" w:type="dxa"/>
            <w:gridSpan w:val="2"/>
            <w:tcBorders>
              <w:top w:val="single" w:color="auto" w:sz="6" w:space="0"/>
              <w:left w:val="single" w:color="auto" w:sz="4" w:space="0"/>
              <w:right w:val="single" w:color="auto" w:sz="6" w:space="0"/>
            </w:tcBorders>
            <w:vAlign w:val="center"/>
          </w:tcPr>
          <w:p w14:paraId="5E4D8D94">
            <w:pPr>
              <w:keepNext w:val="0"/>
              <w:keepLines w:val="0"/>
              <w:pageBreakBefore w:val="0"/>
              <w:kinsoku/>
              <w:overflowPunct/>
              <w:topLinePunct w:val="0"/>
              <w:bidi w:val="0"/>
              <w:spacing w:beforeAutospacing="0" w:after="0" w:afterAutospacing="0"/>
              <w:ind w:firstLine="105" w:firstLineChars="50"/>
            </w:pPr>
          </w:p>
        </w:tc>
      </w:tr>
      <w:tr w14:paraId="63E8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1650" w:type="dxa"/>
            <w:gridSpan w:val="2"/>
            <w:tcBorders>
              <w:left w:val="single" w:color="auto" w:sz="6" w:space="0"/>
              <w:right w:val="single" w:color="auto" w:sz="6" w:space="0"/>
            </w:tcBorders>
            <w:vAlign w:val="center"/>
          </w:tcPr>
          <w:p w14:paraId="7AEAE0A3">
            <w:pPr>
              <w:keepNext w:val="0"/>
              <w:keepLines w:val="0"/>
              <w:pageBreakBefore w:val="0"/>
              <w:kinsoku/>
              <w:overflowPunct/>
              <w:topLinePunct w:val="0"/>
              <w:bidi w:val="0"/>
              <w:spacing w:beforeAutospacing="0" w:after="0" w:afterAutospacing="0"/>
              <w:jc w:val="center"/>
              <w:rPr>
                <w:rFonts w:hAnsi="宋体"/>
                <w:b/>
              </w:rPr>
            </w:pPr>
            <w:r>
              <w:rPr>
                <w:rFonts w:hint="eastAsia" w:hAnsi="宋体"/>
                <w:b/>
              </w:rPr>
              <w:t>采购内容</w:t>
            </w:r>
          </w:p>
        </w:tc>
        <w:tc>
          <w:tcPr>
            <w:tcW w:w="2880" w:type="dxa"/>
            <w:gridSpan w:val="2"/>
            <w:tcBorders>
              <w:top w:val="single" w:color="auto" w:sz="6" w:space="0"/>
              <w:left w:val="single" w:color="auto" w:sz="6" w:space="0"/>
              <w:right w:val="single" w:color="auto" w:sz="4" w:space="0"/>
            </w:tcBorders>
            <w:vAlign w:val="center"/>
          </w:tcPr>
          <w:p w14:paraId="008CD304">
            <w:pPr>
              <w:keepNext w:val="0"/>
              <w:keepLines w:val="0"/>
              <w:pageBreakBefore w:val="0"/>
              <w:kinsoku/>
              <w:overflowPunct/>
              <w:topLinePunct w:val="0"/>
              <w:bidi w:val="0"/>
              <w:spacing w:beforeAutospacing="0" w:after="0" w:afterAutospacing="0"/>
              <w:jc w:val="center"/>
            </w:pPr>
          </w:p>
        </w:tc>
        <w:tc>
          <w:tcPr>
            <w:tcW w:w="1015" w:type="dxa"/>
            <w:tcBorders>
              <w:top w:val="single" w:color="auto" w:sz="6" w:space="0"/>
              <w:left w:val="single" w:color="auto" w:sz="4" w:space="0"/>
              <w:right w:val="single" w:color="auto" w:sz="6" w:space="0"/>
            </w:tcBorders>
            <w:vAlign w:val="center"/>
          </w:tcPr>
          <w:p w14:paraId="6434DD9C">
            <w:pPr>
              <w:keepNext w:val="0"/>
              <w:keepLines w:val="0"/>
              <w:pageBreakBefore w:val="0"/>
              <w:kinsoku/>
              <w:overflowPunct/>
              <w:topLinePunct w:val="0"/>
              <w:bidi w:val="0"/>
              <w:spacing w:beforeAutospacing="0" w:after="0" w:afterAutospacing="0"/>
              <w:jc w:val="center"/>
              <w:rPr>
                <w:b/>
              </w:rPr>
            </w:pPr>
            <w:r>
              <w:rPr>
                <w:rFonts w:hint="eastAsia"/>
                <w:b/>
              </w:rPr>
              <w:t>金额</w:t>
            </w:r>
          </w:p>
        </w:tc>
        <w:tc>
          <w:tcPr>
            <w:tcW w:w="989" w:type="dxa"/>
            <w:tcBorders>
              <w:top w:val="single" w:color="auto" w:sz="6" w:space="0"/>
              <w:left w:val="single" w:color="auto" w:sz="4" w:space="0"/>
              <w:right w:val="single" w:color="auto" w:sz="6" w:space="0"/>
            </w:tcBorders>
            <w:vAlign w:val="center"/>
          </w:tcPr>
          <w:p w14:paraId="197670F9">
            <w:pPr>
              <w:keepNext w:val="0"/>
              <w:keepLines w:val="0"/>
              <w:pageBreakBefore w:val="0"/>
              <w:kinsoku/>
              <w:overflowPunct/>
              <w:topLinePunct w:val="0"/>
              <w:bidi w:val="0"/>
              <w:spacing w:beforeAutospacing="0" w:after="0" w:afterAutospacing="0"/>
              <w:ind w:firstLine="105" w:firstLineChars="50"/>
            </w:pPr>
          </w:p>
        </w:tc>
        <w:tc>
          <w:tcPr>
            <w:tcW w:w="1260" w:type="dxa"/>
            <w:gridSpan w:val="2"/>
            <w:tcBorders>
              <w:top w:val="single" w:color="auto" w:sz="6" w:space="0"/>
              <w:left w:val="single" w:color="auto" w:sz="4" w:space="0"/>
              <w:right w:val="single" w:color="auto" w:sz="6" w:space="0"/>
            </w:tcBorders>
            <w:vAlign w:val="center"/>
          </w:tcPr>
          <w:p w14:paraId="4067DD05">
            <w:pPr>
              <w:keepNext w:val="0"/>
              <w:keepLines w:val="0"/>
              <w:pageBreakBefore w:val="0"/>
              <w:kinsoku/>
              <w:overflowPunct/>
              <w:topLinePunct w:val="0"/>
              <w:bidi w:val="0"/>
              <w:spacing w:beforeAutospacing="0" w:after="0" w:afterAutospacing="0"/>
              <w:ind w:firstLine="105" w:firstLineChars="50"/>
              <w:rPr>
                <w:b/>
              </w:rPr>
            </w:pPr>
            <w:r>
              <w:rPr>
                <w:rFonts w:hint="eastAsia"/>
                <w:b/>
              </w:rPr>
              <w:t>验收方式</w:t>
            </w:r>
          </w:p>
        </w:tc>
        <w:tc>
          <w:tcPr>
            <w:tcW w:w="1180" w:type="dxa"/>
            <w:tcBorders>
              <w:top w:val="single" w:color="auto" w:sz="6" w:space="0"/>
              <w:left w:val="single" w:color="auto" w:sz="4" w:space="0"/>
              <w:right w:val="single" w:color="auto" w:sz="6" w:space="0"/>
            </w:tcBorders>
            <w:vAlign w:val="center"/>
          </w:tcPr>
          <w:p w14:paraId="204AB05A">
            <w:pPr>
              <w:keepNext w:val="0"/>
              <w:keepLines w:val="0"/>
              <w:pageBreakBefore w:val="0"/>
              <w:kinsoku/>
              <w:overflowPunct/>
              <w:topLinePunct w:val="0"/>
              <w:bidi w:val="0"/>
              <w:spacing w:beforeAutospacing="0" w:after="0" w:afterAutospacing="0"/>
              <w:ind w:firstLine="105" w:firstLineChars="50"/>
              <w:jc w:val="center"/>
            </w:pPr>
            <w:r>
              <w:rPr>
                <w:rFonts w:hint="eastAsia"/>
              </w:rPr>
              <w:t>全验</w:t>
            </w:r>
          </w:p>
        </w:tc>
      </w:tr>
      <w:tr w14:paraId="46BF1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829" w:type="dxa"/>
            <w:vMerge w:val="restart"/>
            <w:tcBorders>
              <w:top w:val="single" w:color="auto" w:sz="6" w:space="0"/>
              <w:left w:val="single" w:color="auto" w:sz="6" w:space="0"/>
              <w:right w:val="single" w:color="auto" w:sz="4" w:space="0"/>
            </w:tcBorders>
            <w:vAlign w:val="center"/>
          </w:tcPr>
          <w:p w14:paraId="0B14282B">
            <w:pPr>
              <w:keepNext w:val="0"/>
              <w:keepLines w:val="0"/>
              <w:pageBreakBefore w:val="0"/>
              <w:kinsoku/>
              <w:overflowPunct/>
              <w:topLinePunct w:val="0"/>
              <w:bidi w:val="0"/>
              <w:spacing w:beforeAutospacing="0" w:after="0" w:afterAutospacing="0"/>
              <w:jc w:val="center"/>
              <w:rPr>
                <w:rFonts w:hAnsi="宋体"/>
                <w:b/>
              </w:rPr>
            </w:pPr>
            <w:r>
              <w:rPr>
                <w:rFonts w:hAnsi="宋体"/>
                <w:b/>
              </w:rPr>
              <w:t>对照</w:t>
            </w:r>
            <w:r>
              <w:rPr>
                <w:rFonts w:hint="eastAsia" w:hAnsi="宋体"/>
                <w:b/>
              </w:rPr>
              <w:t>投标文件</w:t>
            </w:r>
            <w:r>
              <w:rPr>
                <w:rFonts w:hAnsi="宋体"/>
                <w:b/>
              </w:rPr>
              <w:t>合同</w:t>
            </w:r>
            <w:r>
              <w:rPr>
                <w:rFonts w:hint="eastAsia" w:hAnsi="宋体"/>
                <w:b/>
              </w:rPr>
              <w:t>等</w:t>
            </w:r>
          </w:p>
          <w:p w14:paraId="0878F4AC">
            <w:pPr>
              <w:keepNext w:val="0"/>
              <w:keepLines w:val="0"/>
              <w:pageBreakBefore w:val="0"/>
              <w:kinsoku/>
              <w:overflowPunct/>
              <w:topLinePunct w:val="0"/>
              <w:bidi w:val="0"/>
              <w:spacing w:beforeAutospacing="0" w:after="0" w:afterAutospacing="0"/>
              <w:jc w:val="center"/>
              <w:rPr>
                <w:rFonts w:hAnsi="宋体"/>
                <w:b/>
              </w:rPr>
            </w:pPr>
            <w:r>
              <w:rPr>
                <w:rFonts w:hint="eastAsia" w:hAnsi="宋体"/>
                <w:b/>
              </w:rPr>
              <w:t>验收</w:t>
            </w:r>
          </w:p>
          <w:p w14:paraId="30F469EA">
            <w:pPr>
              <w:keepNext w:val="0"/>
              <w:keepLines w:val="0"/>
              <w:pageBreakBefore w:val="0"/>
              <w:kinsoku/>
              <w:overflowPunct/>
              <w:topLinePunct w:val="0"/>
              <w:bidi w:val="0"/>
              <w:spacing w:beforeAutospacing="0" w:after="0" w:afterAutospacing="0"/>
              <w:jc w:val="center"/>
              <w:rPr>
                <w:b/>
              </w:rPr>
            </w:pPr>
            <w:r>
              <w:rPr>
                <w:rFonts w:hint="eastAsia" w:hAnsi="宋体"/>
                <w:b/>
              </w:rPr>
              <w:t>情况</w:t>
            </w:r>
          </w:p>
        </w:tc>
        <w:tc>
          <w:tcPr>
            <w:tcW w:w="2794" w:type="dxa"/>
            <w:gridSpan w:val="2"/>
            <w:tcBorders>
              <w:top w:val="single" w:color="auto" w:sz="6" w:space="0"/>
              <w:left w:val="single" w:color="auto" w:sz="4" w:space="0"/>
              <w:bottom w:val="dotted" w:color="auto" w:sz="4" w:space="0"/>
              <w:right w:val="dotted" w:color="auto" w:sz="4" w:space="0"/>
            </w:tcBorders>
            <w:vAlign w:val="center"/>
          </w:tcPr>
          <w:p w14:paraId="0D1CADC8">
            <w:pPr>
              <w:keepNext w:val="0"/>
              <w:keepLines w:val="0"/>
              <w:pageBreakBefore w:val="0"/>
              <w:kinsoku/>
              <w:overflowPunct/>
              <w:topLinePunct w:val="0"/>
              <w:bidi w:val="0"/>
              <w:spacing w:beforeAutospacing="0" w:after="0" w:afterAutospacing="0"/>
              <w:jc w:val="center"/>
            </w:pPr>
            <w:r>
              <w:rPr>
                <w:rFonts w:hAnsi="宋体"/>
              </w:rPr>
              <w:t>交货数量</w:t>
            </w:r>
          </w:p>
        </w:tc>
        <w:tc>
          <w:tcPr>
            <w:tcW w:w="5351" w:type="dxa"/>
            <w:gridSpan w:val="6"/>
            <w:tcBorders>
              <w:top w:val="single" w:color="auto" w:sz="6" w:space="0"/>
              <w:left w:val="dotted" w:color="auto" w:sz="4" w:space="0"/>
              <w:bottom w:val="dotted" w:color="auto" w:sz="4" w:space="0"/>
              <w:right w:val="single" w:color="auto" w:sz="6" w:space="0"/>
            </w:tcBorders>
            <w:vAlign w:val="center"/>
          </w:tcPr>
          <w:p w14:paraId="2063E709">
            <w:pPr>
              <w:keepNext w:val="0"/>
              <w:keepLines w:val="0"/>
              <w:pageBreakBefore w:val="0"/>
              <w:kinsoku/>
              <w:overflowPunct/>
              <w:topLinePunct w:val="0"/>
              <w:bidi w:val="0"/>
              <w:spacing w:beforeAutospacing="0" w:after="0" w:afterAutospacing="0"/>
            </w:pPr>
          </w:p>
        </w:tc>
      </w:tr>
      <w:tr w14:paraId="4273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829" w:type="dxa"/>
            <w:vMerge w:val="continue"/>
            <w:tcBorders>
              <w:left w:val="single" w:color="auto" w:sz="6" w:space="0"/>
              <w:right w:val="single" w:color="auto" w:sz="4" w:space="0"/>
            </w:tcBorders>
            <w:vAlign w:val="center"/>
          </w:tcPr>
          <w:p w14:paraId="2177B46E">
            <w:pPr>
              <w:keepNext w:val="0"/>
              <w:keepLines w:val="0"/>
              <w:pageBreakBefore w:val="0"/>
              <w:kinsoku/>
              <w:overflowPunct/>
              <w:topLinePunct w:val="0"/>
              <w:bidi w:val="0"/>
              <w:spacing w:beforeAutospacing="0" w:after="0" w:afterAutospacing="0"/>
              <w:jc w:val="center"/>
            </w:pPr>
          </w:p>
        </w:tc>
        <w:tc>
          <w:tcPr>
            <w:tcW w:w="2794" w:type="dxa"/>
            <w:gridSpan w:val="2"/>
            <w:tcBorders>
              <w:top w:val="dotted" w:color="auto" w:sz="4" w:space="0"/>
              <w:left w:val="single" w:color="auto" w:sz="4" w:space="0"/>
              <w:bottom w:val="dotted" w:color="auto" w:sz="4" w:space="0"/>
              <w:right w:val="dotted" w:color="auto" w:sz="4" w:space="0"/>
            </w:tcBorders>
            <w:vAlign w:val="center"/>
          </w:tcPr>
          <w:p w14:paraId="56EE971A">
            <w:pPr>
              <w:keepNext w:val="0"/>
              <w:keepLines w:val="0"/>
              <w:pageBreakBefore w:val="0"/>
              <w:kinsoku/>
              <w:overflowPunct/>
              <w:topLinePunct w:val="0"/>
              <w:bidi w:val="0"/>
              <w:spacing w:beforeAutospacing="0" w:after="0" w:afterAutospacing="0"/>
              <w:jc w:val="center"/>
              <w:rPr>
                <w:rFonts w:hAnsi="宋体"/>
              </w:rPr>
            </w:pPr>
            <w:r>
              <w:rPr>
                <w:rFonts w:hint="eastAsia" w:hAnsi="宋体"/>
              </w:rPr>
              <w:t>产品设备的</w:t>
            </w:r>
            <w:r>
              <w:rPr>
                <w:rFonts w:hAnsi="宋体"/>
              </w:rPr>
              <w:t>技术参数、</w:t>
            </w:r>
          </w:p>
          <w:p w14:paraId="1CEF2F31">
            <w:pPr>
              <w:keepNext w:val="0"/>
              <w:keepLines w:val="0"/>
              <w:pageBreakBefore w:val="0"/>
              <w:kinsoku/>
              <w:overflowPunct/>
              <w:topLinePunct w:val="0"/>
              <w:bidi w:val="0"/>
              <w:spacing w:beforeAutospacing="0" w:after="0" w:afterAutospacing="0"/>
              <w:jc w:val="center"/>
            </w:pPr>
            <w:r>
              <w:rPr>
                <w:rFonts w:hAnsi="宋体"/>
              </w:rPr>
              <w:t>型号规格、和产地</w:t>
            </w:r>
          </w:p>
        </w:tc>
        <w:tc>
          <w:tcPr>
            <w:tcW w:w="5351" w:type="dxa"/>
            <w:gridSpan w:val="6"/>
            <w:tcBorders>
              <w:top w:val="dotted" w:color="auto" w:sz="4" w:space="0"/>
              <w:left w:val="dotted" w:color="auto" w:sz="4" w:space="0"/>
              <w:bottom w:val="dotted" w:color="auto" w:sz="4" w:space="0"/>
              <w:right w:val="single" w:color="auto" w:sz="6" w:space="0"/>
            </w:tcBorders>
            <w:vAlign w:val="center"/>
          </w:tcPr>
          <w:p w14:paraId="55F108C3">
            <w:pPr>
              <w:keepNext w:val="0"/>
              <w:keepLines w:val="0"/>
              <w:pageBreakBefore w:val="0"/>
              <w:kinsoku/>
              <w:overflowPunct/>
              <w:topLinePunct w:val="0"/>
              <w:bidi w:val="0"/>
              <w:spacing w:beforeAutospacing="0" w:after="0" w:afterAutospacing="0"/>
              <w:jc w:val="center"/>
            </w:pPr>
          </w:p>
        </w:tc>
      </w:tr>
      <w:tr w14:paraId="7CCA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jc w:val="center"/>
        </w:trPr>
        <w:tc>
          <w:tcPr>
            <w:tcW w:w="829" w:type="dxa"/>
            <w:vMerge w:val="continue"/>
            <w:tcBorders>
              <w:left w:val="single" w:color="auto" w:sz="6" w:space="0"/>
              <w:right w:val="single" w:color="auto" w:sz="4" w:space="0"/>
            </w:tcBorders>
            <w:vAlign w:val="center"/>
          </w:tcPr>
          <w:p w14:paraId="2740406A">
            <w:pPr>
              <w:keepNext w:val="0"/>
              <w:keepLines w:val="0"/>
              <w:pageBreakBefore w:val="0"/>
              <w:kinsoku/>
              <w:overflowPunct/>
              <w:topLinePunct w:val="0"/>
              <w:bidi w:val="0"/>
              <w:spacing w:beforeAutospacing="0" w:after="0" w:afterAutospacing="0"/>
              <w:jc w:val="center"/>
            </w:pPr>
          </w:p>
        </w:tc>
        <w:tc>
          <w:tcPr>
            <w:tcW w:w="2794" w:type="dxa"/>
            <w:gridSpan w:val="2"/>
            <w:tcBorders>
              <w:top w:val="dotted" w:color="auto" w:sz="4" w:space="0"/>
              <w:left w:val="single" w:color="auto" w:sz="4" w:space="0"/>
              <w:bottom w:val="dotted" w:color="auto" w:sz="4" w:space="0"/>
              <w:right w:val="dotted" w:color="auto" w:sz="4" w:space="0"/>
            </w:tcBorders>
            <w:vAlign w:val="center"/>
          </w:tcPr>
          <w:p w14:paraId="56311E57">
            <w:pPr>
              <w:keepNext w:val="0"/>
              <w:keepLines w:val="0"/>
              <w:pageBreakBefore w:val="0"/>
              <w:kinsoku/>
              <w:overflowPunct/>
              <w:topLinePunct w:val="0"/>
              <w:bidi w:val="0"/>
              <w:spacing w:beforeAutospacing="0" w:after="0" w:afterAutospacing="0"/>
              <w:jc w:val="center"/>
            </w:pPr>
            <w:r>
              <w:rPr>
                <w:rFonts w:hAnsi="宋体"/>
              </w:rPr>
              <w:t>实现的功能、指标、效果</w:t>
            </w:r>
          </w:p>
          <w:p w14:paraId="48EF1C32">
            <w:pPr>
              <w:keepNext w:val="0"/>
              <w:keepLines w:val="0"/>
              <w:pageBreakBefore w:val="0"/>
              <w:kinsoku/>
              <w:overflowPunct/>
              <w:topLinePunct w:val="0"/>
              <w:bidi w:val="0"/>
              <w:spacing w:beforeAutospacing="0" w:after="0" w:afterAutospacing="0"/>
              <w:jc w:val="center"/>
            </w:pPr>
            <w:r>
              <w:rPr>
                <w:rFonts w:hAnsi="宋体"/>
              </w:rPr>
              <w:t>或约定的验收标准</w:t>
            </w:r>
          </w:p>
        </w:tc>
        <w:tc>
          <w:tcPr>
            <w:tcW w:w="5351" w:type="dxa"/>
            <w:gridSpan w:val="6"/>
            <w:tcBorders>
              <w:top w:val="dotted" w:color="auto" w:sz="4" w:space="0"/>
              <w:left w:val="dotted" w:color="auto" w:sz="4" w:space="0"/>
              <w:bottom w:val="dotted" w:color="auto" w:sz="4" w:space="0"/>
              <w:right w:val="single" w:color="auto" w:sz="4" w:space="0"/>
            </w:tcBorders>
            <w:vAlign w:val="center"/>
          </w:tcPr>
          <w:p w14:paraId="0466D0A9">
            <w:pPr>
              <w:keepNext w:val="0"/>
              <w:keepLines w:val="0"/>
              <w:pageBreakBefore w:val="0"/>
              <w:kinsoku/>
              <w:overflowPunct/>
              <w:topLinePunct w:val="0"/>
              <w:bidi w:val="0"/>
              <w:spacing w:beforeAutospacing="0" w:after="0" w:afterAutospacing="0"/>
              <w:jc w:val="center"/>
            </w:pPr>
          </w:p>
        </w:tc>
      </w:tr>
      <w:tr w14:paraId="75D96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jc w:val="center"/>
        </w:trPr>
        <w:tc>
          <w:tcPr>
            <w:tcW w:w="829" w:type="dxa"/>
            <w:vMerge w:val="continue"/>
            <w:tcBorders>
              <w:left w:val="single" w:color="auto" w:sz="6" w:space="0"/>
              <w:right w:val="single" w:color="auto" w:sz="4" w:space="0"/>
            </w:tcBorders>
            <w:vAlign w:val="center"/>
          </w:tcPr>
          <w:p w14:paraId="638170E9">
            <w:pPr>
              <w:keepNext w:val="0"/>
              <w:keepLines w:val="0"/>
              <w:pageBreakBefore w:val="0"/>
              <w:kinsoku/>
              <w:overflowPunct/>
              <w:topLinePunct w:val="0"/>
              <w:bidi w:val="0"/>
              <w:spacing w:beforeAutospacing="0" w:after="0" w:afterAutospacing="0"/>
              <w:jc w:val="center"/>
            </w:pPr>
          </w:p>
        </w:tc>
        <w:tc>
          <w:tcPr>
            <w:tcW w:w="2794" w:type="dxa"/>
            <w:gridSpan w:val="2"/>
            <w:tcBorders>
              <w:top w:val="dotted" w:color="auto" w:sz="4" w:space="0"/>
              <w:left w:val="single" w:color="auto" w:sz="4" w:space="0"/>
              <w:bottom w:val="dotted" w:color="auto" w:sz="4" w:space="0"/>
              <w:right w:val="dotted" w:color="auto" w:sz="4" w:space="0"/>
            </w:tcBorders>
            <w:vAlign w:val="center"/>
          </w:tcPr>
          <w:p w14:paraId="01B0EC44">
            <w:pPr>
              <w:keepNext w:val="0"/>
              <w:keepLines w:val="0"/>
              <w:pageBreakBefore w:val="0"/>
              <w:kinsoku/>
              <w:overflowPunct/>
              <w:topLinePunct w:val="0"/>
              <w:bidi w:val="0"/>
              <w:spacing w:beforeAutospacing="0" w:after="0" w:afterAutospacing="0"/>
              <w:jc w:val="center"/>
            </w:pPr>
            <w:r>
              <w:rPr>
                <w:rFonts w:hAnsi="宋体"/>
              </w:rPr>
              <w:t>技术培训与使用须知指引</w:t>
            </w:r>
          </w:p>
        </w:tc>
        <w:tc>
          <w:tcPr>
            <w:tcW w:w="5351" w:type="dxa"/>
            <w:gridSpan w:val="6"/>
            <w:tcBorders>
              <w:top w:val="dotted" w:color="auto" w:sz="4" w:space="0"/>
              <w:left w:val="dotted" w:color="auto" w:sz="4" w:space="0"/>
              <w:bottom w:val="dotted" w:color="auto" w:sz="4" w:space="0"/>
              <w:right w:val="single" w:color="auto" w:sz="4" w:space="0"/>
            </w:tcBorders>
            <w:vAlign w:val="center"/>
          </w:tcPr>
          <w:p w14:paraId="4DC06114">
            <w:pPr>
              <w:keepNext w:val="0"/>
              <w:keepLines w:val="0"/>
              <w:pageBreakBefore w:val="0"/>
              <w:kinsoku/>
              <w:overflowPunct/>
              <w:topLinePunct w:val="0"/>
              <w:bidi w:val="0"/>
              <w:spacing w:beforeAutospacing="0" w:after="0" w:afterAutospacing="0"/>
              <w:jc w:val="center"/>
            </w:pPr>
          </w:p>
        </w:tc>
      </w:tr>
      <w:tr w14:paraId="4ED7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jc w:val="center"/>
        </w:trPr>
        <w:tc>
          <w:tcPr>
            <w:tcW w:w="829" w:type="dxa"/>
            <w:vMerge w:val="continue"/>
            <w:tcBorders>
              <w:left w:val="single" w:color="auto" w:sz="6" w:space="0"/>
              <w:right w:val="single" w:color="auto" w:sz="4" w:space="0"/>
            </w:tcBorders>
            <w:vAlign w:val="center"/>
          </w:tcPr>
          <w:p w14:paraId="297BB2E5">
            <w:pPr>
              <w:keepNext w:val="0"/>
              <w:keepLines w:val="0"/>
              <w:pageBreakBefore w:val="0"/>
              <w:kinsoku/>
              <w:overflowPunct/>
              <w:topLinePunct w:val="0"/>
              <w:bidi w:val="0"/>
              <w:spacing w:beforeAutospacing="0" w:after="0" w:afterAutospacing="0"/>
              <w:jc w:val="center"/>
            </w:pPr>
          </w:p>
        </w:tc>
        <w:tc>
          <w:tcPr>
            <w:tcW w:w="2794" w:type="dxa"/>
            <w:gridSpan w:val="2"/>
            <w:tcBorders>
              <w:top w:val="dotted" w:color="auto" w:sz="4" w:space="0"/>
              <w:left w:val="single" w:color="auto" w:sz="4" w:space="0"/>
              <w:bottom w:val="single" w:color="auto" w:sz="6" w:space="0"/>
              <w:right w:val="dotted" w:color="auto" w:sz="4" w:space="0"/>
            </w:tcBorders>
            <w:vAlign w:val="center"/>
          </w:tcPr>
          <w:p w14:paraId="0B298D0F">
            <w:pPr>
              <w:keepNext w:val="0"/>
              <w:keepLines w:val="0"/>
              <w:pageBreakBefore w:val="0"/>
              <w:kinsoku/>
              <w:overflowPunct/>
              <w:topLinePunct w:val="0"/>
              <w:bidi w:val="0"/>
              <w:spacing w:beforeAutospacing="0" w:after="0" w:afterAutospacing="0"/>
              <w:jc w:val="center"/>
              <w:rPr>
                <w:rFonts w:hAnsi="宋体"/>
              </w:rPr>
            </w:pPr>
            <w:r>
              <w:rPr>
                <w:rFonts w:hAnsi="宋体"/>
              </w:rPr>
              <w:t>技术资料、售后服务资料等</w:t>
            </w:r>
            <w:r>
              <w:rPr>
                <w:rFonts w:hint="eastAsia" w:hAnsi="宋体"/>
              </w:rPr>
              <w:t>档案清点</w:t>
            </w:r>
            <w:r>
              <w:rPr>
                <w:rFonts w:hAnsi="宋体"/>
              </w:rPr>
              <w:t>移交</w:t>
            </w:r>
          </w:p>
        </w:tc>
        <w:tc>
          <w:tcPr>
            <w:tcW w:w="5351" w:type="dxa"/>
            <w:gridSpan w:val="6"/>
            <w:tcBorders>
              <w:top w:val="dotted" w:color="auto" w:sz="4" w:space="0"/>
              <w:left w:val="dotted" w:color="auto" w:sz="4" w:space="0"/>
              <w:bottom w:val="single" w:color="auto" w:sz="6" w:space="0"/>
              <w:right w:val="single" w:color="auto" w:sz="4" w:space="0"/>
            </w:tcBorders>
            <w:vAlign w:val="center"/>
          </w:tcPr>
          <w:p w14:paraId="13406E83">
            <w:pPr>
              <w:keepNext w:val="0"/>
              <w:keepLines w:val="0"/>
              <w:pageBreakBefore w:val="0"/>
              <w:kinsoku/>
              <w:overflowPunct/>
              <w:topLinePunct w:val="0"/>
              <w:bidi w:val="0"/>
              <w:spacing w:beforeAutospacing="0" w:after="0" w:afterAutospacing="0"/>
              <w:jc w:val="center"/>
            </w:pPr>
          </w:p>
        </w:tc>
      </w:tr>
      <w:tr w14:paraId="7376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atLeast"/>
          <w:jc w:val="center"/>
        </w:trPr>
        <w:tc>
          <w:tcPr>
            <w:tcW w:w="8974" w:type="dxa"/>
            <w:gridSpan w:val="9"/>
            <w:tcBorders>
              <w:left w:val="single" w:color="auto" w:sz="6" w:space="0"/>
              <w:bottom w:val="single" w:color="auto" w:sz="6" w:space="0"/>
              <w:right w:val="single" w:color="auto" w:sz="4" w:space="0"/>
            </w:tcBorders>
          </w:tcPr>
          <w:p w14:paraId="4AB18A46">
            <w:pPr>
              <w:keepNext w:val="0"/>
              <w:keepLines w:val="0"/>
              <w:pageBreakBefore w:val="0"/>
              <w:kinsoku/>
              <w:overflowPunct/>
              <w:topLinePunct w:val="0"/>
              <w:bidi w:val="0"/>
              <w:spacing w:beforeAutospacing="0" w:after="0" w:afterAutospacing="0" w:line="480" w:lineRule="auto"/>
            </w:pPr>
            <w:r>
              <w:rPr>
                <w:rFonts w:hAnsi="宋体"/>
                <w:b/>
              </w:rPr>
              <w:t>对项目</w:t>
            </w:r>
            <w:r>
              <w:rPr>
                <w:rFonts w:hint="eastAsia" w:hAnsi="宋体"/>
                <w:b/>
              </w:rPr>
              <w:t>整体</w:t>
            </w:r>
            <w:r>
              <w:rPr>
                <w:rFonts w:hAnsi="宋体"/>
                <w:b/>
              </w:rPr>
              <w:t>实施质量、</w:t>
            </w:r>
            <w:r>
              <w:rPr>
                <w:rFonts w:hint="eastAsia" w:hAnsi="宋体"/>
                <w:b/>
              </w:rPr>
              <w:t>售后</w:t>
            </w:r>
            <w:r>
              <w:rPr>
                <w:rFonts w:hAnsi="宋体"/>
                <w:b/>
              </w:rPr>
              <w:t>服务等综合验收</w:t>
            </w:r>
            <w:r>
              <w:rPr>
                <w:rFonts w:hint="eastAsia" w:hAnsi="宋体"/>
                <w:b/>
              </w:rPr>
              <w:t>结果</w:t>
            </w:r>
            <w:r>
              <w:rPr>
                <w:rFonts w:hAnsi="宋体"/>
                <w:b/>
              </w:rPr>
              <w:t>：</w:t>
            </w:r>
          </w:p>
          <w:p w14:paraId="6DDE8F64">
            <w:pPr>
              <w:keepNext w:val="0"/>
              <w:keepLines w:val="0"/>
              <w:pageBreakBefore w:val="0"/>
              <w:kinsoku/>
              <w:overflowPunct/>
              <w:topLinePunct w:val="0"/>
              <w:bidi w:val="0"/>
              <w:spacing w:beforeAutospacing="0" w:after="0" w:afterAutospacing="0"/>
            </w:pPr>
          </w:p>
          <w:p w14:paraId="70333CF3">
            <w:pPr>
              <w:keepNext w:val="0"/>
              <w:keepLines w:val="0"/>
              <w:pageBreakBefore w:val="0"/>
              <w:kinsoku/>
              <w:overflowPunct/>
              <w:topLinePunct w:val="0"/>
              <w:bidi w:val="0"/>
              <w:spacing w:beforeAutospacing="0" w:after="0" w:afterAutospacing="0"/>
            </w:pPr>
          </w:p>
          <w:p w14:paraId="3A84855A">
            <w:pPr>
              <w:keepNext w:val="0"/>
              <w:keepLines w:val="0"/>
              <w:pageBreakBefore w:val="0"/>
              <w:kinsoku/>
              <w:overflowPunct/>
              <w:topLinePunct w:val="0"/>
              <w:bidi w:val="0"/>
              <w:spacing w:beforeAutospacing="0" w:after="0" w:afterAutospacing="0"/>
            </w:pPr>
          </w:p>
          <w:p w14:paraId="57292B6C">
            <w:pPr>
              <w:keepNext w:val="0"/>
              <w:keepLines w:val="0"/>
              <w:pageBreakBefore w:val="0"/>
              <w:kinsoku/>
              <w:overflowPunct/>
              <w:topLinePunct w:val="0"/>
              <w:bidi w:val="0"/>
              <w:spacing w:beforeAutospacing="0" w:after="0" w:afterAutospacing="0"/>
            </w:pPr>
          </w:p>
          <w:p w14:paraId="27E93483">
            <w:pPr>
              <w:keepNext w:val="0"/>
              <w:keepLines w:val="0"/>
              <w:pageBreakBefore w:val="0"/>
              <w:kinsoku/>
              <w:overflowPunct/>
              <w:topLinePunct w:val="0"/>
              <w:bidi w:val="0"/>
              <w:spacing w:beforeAutospacing="0" w:after="0" w:afterAutospacing="0" w:line="480" w:lineRule="auto"/>
              <w:rPr>
                <w:b/>
                <w:u w:val="single"/>
              </w:rPr>
            </w:pPr>
            <w:r>
              <w:rPr>
                <w:rFonts w:hint="eastAsia"/>
                <w:b/>
              </w:rPr>
              <w:t>整改事项：</w:t>
            </w:r>
          </w:p>
          <w:p w14:paraId="65600A56">
            <w:pPr>
              <w:keepNext w:val="0"/>
              <w:keepLines w:val="0"/>
              <w:pageBreakBefore w:val="0"/>
              <w:kinsoku/>
              <w:overflowPunct/>
              <w:topLinePunct w:val="0"/>
              <w:bidi w:val="0"/>
              <w:spacing w:beforeAutospacing="0" w:after="0" w:afterAutospacing="0" w:line="480" w:lineRule="auto"/>
              <w:rPr>
                <w:b/>
              </w:rPr>
            </w:pPr>
          </w:p>
        </w:tc>
      </w:tr>
      <w:tr w14:paraId="28F03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jc w:val="center"/>
        </w:trPr>
        <w:tc>
          <w:tcPr>
            <w:tcW w:w="8974" w:type="dxa"/>
            <w:gridSpan w:val="9"/>
            <w:tcBorders>
              <w:top w:val="single" w:color="auto" w:sz="6" w:space="0"/>
              <w:left w:val="single" w:color="auto" w:sz="6" w:space="0"/>
              <w:right w:val="single" w:color="auto" w:sz="6" w:space="0"/>
            </w:tcBorders>
          </w:tcPr>
          <w:p w14:paraId="365024C3">
            <w:pPr>
              <w:keepNext w:val="0"/>
              <w:keepLines w:val="0"/>
              <w:pageBreakBefore w:val="0"/>
              <w:kinsoku/>
              <w:overflowPunct/>
              <w:topLinePunct w:val="0"/>
              <w:bidi w:val="0"/>
              <w:spacing w:beforeAutospacing="0" w:after="0" w:afterAutospacing="0" w:line="360" w:lineRule="auto"/>
              <w:rPr>
                <w:b/>
              </w:rPr>
            </w:pPr>
            <w:r>
              <w:rPr>
                <w:rFonts w:hint="eastAsia" w:hAnsi="宋体"/>
                <w:b/>
              </w:rPr>
              <w:t>验收人员签名</w:t>
            </w:r>
            <w:r>
              <w:rPr>
                <w:rFonts w:hAnsi="宋体"/>
                <w:b/>
              </w:rPr>
              <w:t>：</w:t>
            </w:r>
          </w:p>
          <w:p w14:paraId="481634B8">
            <w:pPr>
              <w:keepNext w:val="0"/>
              <w:keepLines w:val="0"/>
              <w:pageBreakBefore w:val="0"/>
              <w:kinsoku/>
              <w:overflowPunct/>
              <w:topLinePunct w:val="0"/>
              <w:bidi w:val="0"/>
              <w:spacing w:beforeAutospacing="0" w:after="0" w:afterAutospacing="0" w:line="360" w:lineRule="auto"/>
              <w:rPr>
                <w:b/>
              </w:rPr>
            </w:pPr>
            <w:r>
              <w:rPr>
                <w:rFonts w:hint="eastAsia"/>
                <w:b/>
              </w:rPr>
              <w:t>单位（盖章）：</w:t>
            </w:r>
          </w:p>
          <w:p w14:paraId="2110DE6D">
            <w:pPr>
              <w:keepNext w:val="0"/>
              <w:keepLines w:val="0"/>
              <w:pageBreakBefore w:val="0"/>
              <w:kinsoku/>
              <w:overflowPunct/>
              <w:topLinePunct w:val="0"/>
              <w:bidi w:val="0"/>
              <w:spacing w:beforeAutospacing="0" w:after="0" w:afterAutospacing="0" w:line="360" w:lineRule="auto"/>
              <w:rPr>
                <w:b/>
              </w:rPr>
            </w:pPr>
            <w:r>
              <w:rPr>
                <w:rFonts w:hint="eastAsia"/>
                <w:b/>
              </w:rPr>
              <w:t>法人或委托人签名：</w:t>
            </w:r>
          </w:p>
          <w:p w14:paraId="43B00C18">
            <w:pPr>
              <w:keepNext w:val="0"/>
              <w:keepLines w:val="0"/>
              <w:pageBreakBefore w:val="0"/>
              <w:kinsoku/>
              <w:overflowPunct/>
              <w:topLinePunct w:val="0"/>
              <w:bidi w:val="0"/>
              <w:spacing w:beforeAutospacing="0" w:after="0" w:afterAutospacing="0" w:line="360" w:lineRule="auto"/>
              <w:ind w:firstLine="4889" w:firstLineChars="2319"/>
              <w:rPr>
                <w:b/>
              </w:rPr>
            </w:pPr>
            <w:r>
              <w:rPr>
                <w:rFonts w:hint="eastAsia"/>
                <w:b/>
              </w:rPr>
              <w:t>验收日期：</w:t>
            </w:r>
          </w:p>
        </w:tc>
      </w:tr>
    </w:tbl>
    <w:p w14:paraId="2CFE8CF5">
      <w:pPr>
        <w:keepNext w:val="0"/>
        <w:keepLines w:val="0"/>
        <w:pageBreakBefore w:val="0"/>
        <w:kinsoku/>
        <w:overflowPunct/>
        <w:topLinePunct w:val="0"/>
        <w:bidi w:val="0"/>
        <w:spacing w:beforeAutospacing="0" w:after="0" w:afterAutospacing="0"/>
        <w:rPr>
          <w:rFonts w:hAnsi="宋体"/>
        </w:rPr>
      </w:pPr>
      <w:r>
        <w:rPr>
          <w:rFonts w:hint="eastAsia" w:hAnsi="宋体"/>
        </w:rPr>
        <w:t>1、验收执行标准：采购文件、投标文件、合同、双方确认的一切补充文件。</w:t>
      </w:r>
    </w:p>
    <w:p w14:paraId="3B286C64">
      <w:pPr>
        <w:keepNext w:val="0"/>
        <w:keepLines w:val="0"/>
        <w:pageBreakBefore w:val="0"/>
        <w:kinsoku/>
        <w:overflowPunct/>
        <w:topLinePunct w:val="0"/>
        <w:bidi w:val="0"/>
        <w:snapToGrid w:val="0"/>
        <w:spacing w:beforeAutospacing="0" w:after="0" w:afterAutospacing="0"/>
        <w:rPr>
          <w:rFonts w:hAnsi="宋体"/>
        </w:rPr>
      </w:pPr>
      <w:r>
        <w:rPr>
          <w:rFonts w:hint="eastAsia" w:hAnsi="宋体"/>
        </w:rPr>
        <w:t>2、150万以上项目初验合格后，由招标代理机构组织相关部门对项目进行抽查。</w:t>
      </w:r>
    </w:p>
    <w:p w14:paraId="44272FA5">
      <w:pPr>
        <w:keepNext w:val="0"/>
        <w:keepLines w:val="0"/>
        <w:pageBreakBefore w:val="0"/>
        <w:kinsoku/>
        <w:overflowPunct/>
        <w:topLinePunct w:val="0"/>
        <w:bidi w:val="0"/>
        <w:snapToGrid w:val="0"/>
        <w:spacing w:beforeAutospacing="0" w:after="0" w:afterAutospacing="0"/>
        <w:rPr>
          <w:rFonts w:hAnsi="宋体"/>
        </w:rPr>
      </w:pPr>
      <w:r>
        <w:rPr>
          <w:rFonts w:hint="eastAsia" w:hAnsi="宋体"/>
        </w:rPr>
        <w:t>3、此表后应附验收货物清单。</w:t>
      </w:r>
    </w:p>
    <w:p w14:paraId="4645D2C8">
      <w:pPr>
        <w:keepNext w:val="0"/>
        <w:keepLines w:val="0"/>
        <w:pageBreakBefore w:val="0"/>
        <w:kinsoku/>
        <w:overflowPunct/>
        <w:topLinePunct w:val="0"/>
        <w:bidi w:val="0"/>
        <w:snapToGrid w:val="0"/>
        <w:spacing w:beforeAutospacing="0" w:after="0" w:afterAutospacing="0"/>
        <w:rPr>
          <w:rFonts w:hAnsi="宋体"/>
          <w:kern w:val="0"/>
        </w:rPr>
        <w:sectPr>
          <w:headerReference r:id="rId13" w:type="default"/>
          <w:footerReference r:id="rId14" w:type="default"/>
          <w:pgSz w:w="11906" w:h="16838"/>
          <w:pgMar w:top="1327" w:right="1349" w:bottom="1327" w:left="1633" w:header="851" w:footer="992" w:gutter="0"/>
          <w:pgBorders>
            <w:top w:val="none" w:sz="0" w:space="0"/>
            <w:left w:val="none" w:sz="0" w:space="0"/>
            <w:bottom w:val="none" w:sz="0" w:space="0"/>
            <w:right w:val="none" w:sz="0" w:space="0"/>
          </w:pgBorders>
          <w:cols w:space="0" w:num="1"/>
          <w:docGrid w:type="lines" w:linePitch="312" w:charSpace="0"/>
        </w:sectPr>
      </w:pPr>
      <w:r>
        <w:rPr>
          <w:rFonts w:hint="eastAsia" w:hAnsi="宋体"/>
        </w:rPr>
        <w:t>4、以上空白处如不够填写，可另附纸张。</w:t>
      </w:r>
    </w:p>
    <w:p w14:paraId="2ECAF6E7">
      <w:pPr>
        <w:keepNext w:val="0"/>
        <w:keepLines w:val="0"/>
        <w:pageBreakBefore w:val="0"/>
        <w:kinsoku/>
        <w:overflowPunct/>
        <w:topLinePunct w:val="0"/>
        <w:bidi w:val="0"/>
        <w:spacing w:beforeAutospacing="0" w:after="0" w:afterAutospacing="0"/>
        <w:jc w:val="center"/>
      </w:pPr>
      <w:r>
        <w:rPr>
          <w:rFonts w:hint="eastAsia"/>
          <w:b/>
          <w:sz w:val="30"/>
          <w:szCs w:val="30"/>
        </w:rPr>
        <w:t>验收货物清单</w:t>
      </w:r>
    </w:p>
    <w:tbl>
      <w:tblPr>
        <w:tblStyle w:val="49"/>
        <w:tblW w:w="13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9"/>
        <w:gridCol w:w="5746"/>
        <w:gridCol w:w="3780"/>
        <w:gridCol w:w="720"/>
        <w:gridCol w:w="720"/>
        <w:gridCol w:w="718"/>
        <w:gridCol w:w="1262"/>
      </w:tblGrid>
      <w:tr w14:paraId="76E2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1" w:hRule="exact"/>
        </w:trPr>
        <w:tc>
          <w:tcPr>
            <w:tcW w:w="919" w:type="dxa"/>
            <w:tcBorders>
              <w:top w:val="single" w:color="auto" w:sz="4" w:space="0"/>
              <w:left w:val="single" w:color="auto" w:sz="4" w:space="0"/>
              <w:bottom w:val="single" w:color="auto" w:sz="4" w:space="0"/>
              <w:right w:val="single" w:color="auto" w:sz="4" w:space="0"/>
            </w:tcBorders>
            <w:vAlign w:val="center"/>
          </w:tcPr>
          <w:p w14:paraId="54D53211">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序号</w:t>
            </w:r>
          </w:p>
        </w:tc>
        <w:tc>
          <w:tcPr>
            <w:tcW w:w="5746" w:type="dxa"/>
            <w:tcBorders>
              <w:top w:val="single" w:color="auto" w:sz="4" w:space="0"/>
              <w:left w:val="single" w:color="auto" w:sz="4" w:space="0"/>
              <w:bottom w:val="single" w:color="auto" w:sz="4" w:space="0"/>
              <w:right w:val="single" w:color="auto" w:sz="4" w:space="0"/>
            </w:tcBorders>
          </w:tcPr>
          <w:p w14:paraId="5583A4F7">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货物名称</w:t>
            </w:r>
          </w:p>
        </w:tc>
        <w:tc>
          <w:tcPr>
            <w:tcW w:w="3780" w:type="dxa"/>
            <w:tcBorders>
              <w:top w:val="single" w:color="auto" w:sz="4" w:space="0"/>
              <w:left w:val="single" w:color="auto" w:sz="4" w:space="0"/>
              <w:bottom w:val="single" w:color="auto" w:sz="4" w:space="0"/>
              <w:right w:val="single" w:color="auto" w:sz="4" w:space="0"/>
            </w:tcBorders>
            <w:vAlign w:val="center"/>
          </w:tcPr>
          <w:p w14:paraId="7E723B96">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品牌型号</w:t>
            </w:r>
          </w:p>
        </w:tc>
        <w:tc>
          <w:tcPr>
            <w:tcW w:w="720" w:type="dxa"/>
            <w:tcBorders>
              <w:top w:val="single" w:color="auto" w:sz="4" w:space="0"/>
              <w:left w:val="single" w:color="auto" w:sz="4" w:space="0"/>
              <w:bottom w:val="single" w:color="auto" w:sz="4" w:space="0"/>
              <w:right w:val="single" w:color="auto" w:sz="4" w:space="0"/>
            </w:tcBorders>
            <w:vAlign w:val="center"/>
          </w:tcPr>
          <w:p w14:paraId="72B4E722">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符合  与否</w:t>
            </w:r>
          </w:p>
        </w:tc>
        <w:tc>
          <w:tcPr>
            <w:tcW w:w="720" w:type="dxa"/>
            <w:tcBorders>
              <w:top w:val="single" w:color="auto" w:sz="4" w:space="0"/>
              <w:left w:val="single" w:color="auto" w:sz="4" w:space="0"/>
              <w:bottom w:val="single" w:color="auto" w:sz="4" w:space="0"/>
              <w:right w:val="single" w:color="auto" w:sz="4" w:space="0"/>
            </w:tcBorders>
            <w:vAlign w:val="center"/>
          </w:tcPr>
          <w:p w14:paraId="7A71F556">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数量</w:t>
            </w:r>
          </w:p>
        </w:tc>
        <w:tc>
          <w:tcPr>
            <w:tcW w:w="718" w:type="dxa"/>
            <w:tcBorders>
              <w:top w:val="single" w:color="auto" w:sz="4" w:space="0"/>
              <w:left w:val="single" w:color="auto" w:sz="4" w:space="0"/>
              <w:bottom w:val="single" w:color="auto" w:sz="4" w:space="0"/>
              <w:right w:val="single" w:color="auto" w:sz="4" w:space="0"/>
            </w:tcBorders>
            <w:vAlign w:val="center"/>
          </w:tcPr>
          <w:p w14:paraId="05C8EAFB">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符合   与否</w:t>
            </w:r>
          </w:p>
        </w:tc>
        <w:tc>
          <w:tcPr>
            <w:tcW w:w="1262" w:type="dxa"/>
            <w:tcBorders>
              <w:top w:val="single" w:color="auto" w:sz="4" w:space="0"/>
              <w:left w:val="single" w:color="auto" w:sz="4" w:space="0"/>
              <w:bottom w:val="single" w:color="auto" w:sz="4" w:space="0"/>
              <w:right w:val="single" w:color="auto" w:sz="4" w:space="0"/>
            </w:tcBorders>
            <w:vAlign w:val="center"/>
          </w:tcPr>
          <w:p w14:paraId="7845CCDC">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验收人员 签名</w:t>
            </w:r>
          </w:p>
        </w:tc>
      </w:tr>
      <w:tr w14:paraId="5930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trPr>
        <w:tc>
          <w:tcPr>
            <w:tcW w:w="919" w:type="dxa"/>
            <w:tcBorders>
              <w:top w:val="single" w:color="auto" w:sz="4" w:space="0"/>
              <w:left w:val="single" w:color="auto" w:sz="4" w:space="0"/>
              <w:bottom w:val="single" w:color="auto" w:sz="4" w:space="0"/>
              <w:right w:val="single" w:color="auto" w:sz="4" w:space="0"/>
            </w:tcBorders>
            <w:vAlign w:val="center"/>
          </w:tcPr>
          <w:p w14:paraId="6672D25B">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1</w:t>
            </w:r>
          </w:p>
        </w:tc>
        <w:tc>
          <w:tcPr>
            <w:tcW w:w="5746" w:type="dxa"/>
            <w:tcBorders>
              <w:top w:val="single" w:color="auto" w:sz="4" w:space="0"/>
              <w:left w:val="single" w:color="auto" w:sz="4" w:space="0"/>
              <w:bottom w:val="single" w:color="auto" w:sz="4" w:space="0"/>
              <w:right w:val="single" w:color="auto" w:sz="4" w:space="0"/>
            </w:tcBorders>
          </w:tcPr>
          <w:p w14:paraId="38D17297">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3780" w:type="dxa"/>
            <w:tcBorders>
              <w:top w:val="single" w:color="auto" w:sz="4" w:space="0"/>
              <w:left w:val="single" w:color="auto" w:sz="4" w:space="0"/>
              <w:bottom w:val="single" w:color="auto" w:sz="4" w:space="0"/>
              <w:right w:val="single" w:color="auto" w:sz="4" w:space="0"/>
            </w:tcBorders>
            <w:vAlign w:val="center"/>
          </w:tcPr>
          <w:p w14:paraId="4E66DFE7">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DD93249">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0FF7AAEB">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18" w:type="dxa"/>
            <w:tcBorders>
              <w:top w:val="single" w:color="auto" w:sz="4" w:space="0"/>
              <w:left w:val="single" w:color="auto" w:sz="4" w:space="0"/>
              <w:bottom w:val="single" w:color="auto" w:sz="4" w:space="0"/>
              <w:right w:val="single" w:color="auto" w:sz="4" w:space="0"/>
            </w:tcBorders>
            <w:vAlign w:val="center"/>
          </w:tcPr>
          <w:p w14:paraId="704AD4F7">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1262" w:type="dxa"/>
            <w:tcBorders>
              <w:top w:val="single" w:color="auto" w:sz="4" w:space="0"/>
              <w:left w:val="single" w:color="auto" w:sz="4" w:space="0"/>
              <w:bottom w:val="single" w:color="auto" w:sz="4" w:space="0"/>
              <w:right w:val="single" w:color="auto" w:sz="4" w:space="0"/>
            </w:tcBorders>
            <w:vAlign w:val="center"/>
          </w:tcPr>
          <w:p w14:paraId="3F6B1CA2">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r>
      <w:tr w14:paraId="141E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trPr>
        <w:tc>
          <w:tcPr>
            <w:tcW w:w="919" w:type="dxa"/>
            <w:tcBorders>
              <w:top w:val="single" w:color="auto" w:sz="4" w:space="0"/>
              <w:left w:val="single" w:color="auto" w:sz="4" w:space="0"/>
              <w:bottom w:val="single" w:color="auto" w:sz="4" w:space="0"/>
              <w:right w:val="single" w:color="auto" w:sz="4" w:space="0"/>
            </w:tcBorders>
            <w:vAlign w:val="center"/>
          </w:tcPr>
          <w:p w14:paraId="4F0E8113">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2</w:t>
            </w:r>
          </w:p>
        </w:tc>
        <w:tc>
          <w:tcPr>
            <w:tcW w:w="5746" w:type="dxa"/>
            <w:tcBorders>
              <w:top w:val="single" w:color="auto" w:sz="4" w:space="0"/>
              <w:left w:val="single" w:color="auto" w:sz="4" w:space="0"/>
              <w:bottom w:val="single" w:color="auto" w:sz="4" w:space="0"/>
              <w:right w:val="single" w:color="auto" w:sz="4" w:space="0"/>
            </w:tcBorders>
          </w:tcPr>
          <w:p w14:paraId="556B2190">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3780" w:type="dxa"/>
            <w:tcBorders>
              <w:top w:val="single" w:color="auto" w:sz="4" w:space="0"/>
              <w:left w:val="single" w:color="auto" w:sz="4" w:space="0"/>
              <w:bottom w:val="single" w:color="auto" w:sz="4" w:space="0"/>
              <w:right w:val="single" w:color="auto" w:sz="4" w:space="0"/>
            </w:tcBorders>
            <w:vAlign w:val="center"/>
          </w:tcPr>
          <w:p w14:paraId="44F33EB9">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C63998C">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F3361FC">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18" w:type="dxa"/>
            <w:tcBorders>
              <w:top w:val="single" w:color="auto" w:sz="4" w:space="0"/>
              <w:left w:val="single" w:color="auto" w:sz="4" w:space="0"/>
              <w:bottom w:val="single" w:color="auto" w:sz="4" w:space="0"/>
              <w:right w:val="single" w:color="auto" w:sz="4" w:space="0"/>
            </w:tcBorders>
            <w:vAlign w:val="center"/>
          </w:tcPr>
          <w:p w14:paraId="5DBE9A43">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1262" w:type="dxa"/>
            <w:tcBorders>
              <w:top w:val="single" w:color="auto" w:sz="4" w:space="0"/>
              <w:left w:val="single" w:color="auto" w:sz="4" w:space="0"/>
              <w:bottom w:val="single" w:color="auto" w:sz="4" w:space="0"/>
              <w:right w:val="single" w:color="auto" w:sz="4" w:space="0"/>
            </w:tcBorders>
            <w:vAlign w:val="center"/>
          </w:tcPr>
          <w:p w14:paraId="2FDA2DEC">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r>
      <w:tr w14:paraId="218C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trPr>
        <w:tc>
          <w:tcPr>
            <w:tcW w:w="919" w:type="dxa"/>
            <w:tcBorders>
              <w:top w:val="single" w:color="auto" w:sz="4" w:space="0"/>
              <w:left w:val="single" w:color="auto" w:sz="4" w:space="0"/>
              <w:bottom w:val="single" w:color="auto" w:sz="4" w:space="0"/>
              <w:right w:val="single" w:color="auto" w:sz="4" w:space="0"/>
            </w:tcBorders>
            <w:vAlign w:val="center"/>
          </w:tcPr>
          <w:p w14:paraId="7B5FEF74">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3</w:t>
            </w:r>
          </w:p>
        </w:tc>
        <w:tc>
          <w:tcPr>
            <w:tcW w:w="5746" w:type="dxa"/>
            <w:tcBorders>
              <w:top w:val="single" w:color="auto" w:sz="4" w:space="0"/>
              <w:left w:val="single" w:color="auto" w:sz="4" w:space="0"/>
              <w:bottom w:val="single" w:color="auto" w:sz="4" w:space="0"/>
              <w:right w:val="single" w:color="auto" w:sz="4" w:space="0"/>
            </w:tcBorders>
          </w:tcPr>
          <w:p w14:paraId="419FB078">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3780" w:type="dxa"/>
            <w:tcBorders>
              <w:top w:val="single" w:color="auto" w:sz="4" w:space="0"/>
              <w:left w:val="single" w:color="auto" w:sz="4" w:space="0"/>
              <w:bottom w:val="single" w:color="auto" w:sz="4" w:space="0"/>
              <w:right w:val="single" w:color="auto" w:sz="4" w:space="0"/>
            </w:tcBorders>
            <w:vAlign w:val="center"/>
          </w:tcPr>
          <w:p w14:paraId="7F33BF65">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CEDACD3">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BC6D04C">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18" w:type="dxa"/>
            <w:tcBorders>
              <w:top w:val="single" w:color="auto" w:sz="4" w:space="0"/>
              <w:left w:val="single" w:color="auto" w:sz="4" w:space="0"/>
              <w:bottom w:val="single" w:color="auto" w:sz="4" w:space="0"/>
              <w:right w:val="single" w:color="auto" w:sz="4" w:space="0"/>
            </w:tcBorders>
            <w:vAlign w:val="center"/>
          </w:tcPr>
          <w:p w14:paraId="176FF35B">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1262" w:type="dxa"/>
            <w:tcBorders>
              <w:top w:val="single" w:color="auto" w:sz="4" w:space="0"/>
              <w:left w:val="single" w:color="auto" w:sz="4" w:space="0"/>
              <w:bottom w:val="single" w:color="auto" w:sz="4" w:space="0"/>
              <w:right w:val="single" w:color="auto" w:sz="4" w:space="0"/>
            </w:tcBorders>
            <w:vAlign w:val="center"/>
          </w:tcPr>
          <w:p w14:paraId="25750189">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r>
      <w:tr w14:paraId="6B95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trPr>
        <w:tc>
          <w:tcPr>
            <w:tcW w:w="919" w:type="dxa"/>
            <w:tcBorders>
              <w:top w:val="single" w:color="auto" w:sz="4" w:space="0"/>
              <w:left w:val="single" w:color="auto" w:sz="4" w:space="0"/>
              <w:bottom w:val="single" w:color="auto" w:sz="4" w:space="0"/>
              <w:right w:val="single" w:color="auto" w:sz="4" w:space="0"/>
            </w:tcBorders>
            <w:vAlign w:val="center"/>
          </w:tcPr>
          <w:p w14:paraId="448E9B00">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4</w:t>
            </w:r>
          </w:p>
        </w:tc>
        <w:tc>
          <w:tcPr>
            <w:tcW w:w="5746" w:type="dxa"/>
            <w:tcBorders>
              <w:top w:val="single" w:color="auto" w:sz="4" w:space="0"/>
              <w:left w:val="single" w:color="auto" w:sz="4" w:space="0"/>
              <w:bottom w:val="single" w:color="auto" w:sz="4" w:space="0"/>
              <w:right w:val="single" w:color="auto" w:sz="4" w:space="0"/>
            </w:tcBorders>
          </w:tcPr>
          <w:p w14:paraId="7E15D10B">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3780" w:type="dxa"/>
            <w:tcBorders>
              <w:top w:val="single" w:color="auto" w:sz="4" w:space="0"/>
              <w:left w:val="single" w:color="auto" w:sz="4" w:space="0"/>
              <w:bottom w:val="single" w:color="auto" w:sz="4" w:space="0"/>
              <w:right w:val="single" w:color="auto" w:sz="4" w:space="0"/>
            </w:tcBorders>
            <w:vAlign w:val="center"/>
          </w:tcPr>
          <w:p w14:paraId="13A0DC24">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EFFFC74">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0C1896D3">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18" w:type="dxa"/>
            <w:tcBorders>
              <w:top w:val="single" w:color="auto" w:sz="4" w:space="0"/>
              <w:left w:val="single" w:color="auto" w:sz="4" w:space="0"/>
              <w:bottom w:val="single" w:color="auto" w:sz="4" w:space="0"/>
              <w:right w:val="single" w:color="auto" w:sz="4" w:space="0"/>
            </w:tcBorders>
            <w:vAlign w:val="center"/>
          </w:tcPr>
          <w:p w14:paraId="6775B1E9">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1262" w:type="dxa"/>
            <w:tcBorders>
              <w:top w:val="single" w:color="auto" w:sz="4" w:space="0"/>
              <w:left w:val="single" w:color="auto" w:sz="4" w:space="0"/>
              <w:bottom w:val="single" w:color="auto" w:sz="4" w:space="0"/>
              <w:right w:val="single" w:color="auto" w:sz="4" w:space="0"/>
            </w:tcBorders>
            <w:vAlign w:val="center"/>
          </w:tcPr>
          <w:p w14:paraId="285778BD">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r>
      <w:tr w14:paraId="549E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trPr>
        <w:tc>
          <w:tcPr>
            <w:tcW w:w="919" w:type="dxa"/>
            <w:tcBorders>
              <w:top w:val="single" w:color="auto" w:sz="4" w:space="0"/>
              <w:left w:val="single" w:color="auto" w:sz="4" w:space="0"/>
              <w:bottom w:val="single" w:color="auto" w:sz="4" w:space="0"/>
              <w:right w:val="single" w:color="auto" w:sz="4" w:space="0"/>
            </w:tcBorders>
            <w:vAlign w:val="center"/>
          </w:tcPr>
          <w:p w14:paraId="5B371C2D">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5</w:t>
            </w:r>
          </w:p>
        </w:tc>
        <w:tc>
          <w:tcPr>
            <w:tcW w:w="5746" w:type="dxa"/>
            <w:tcBorders>
              <w:top w:val="single" w:color="auto" w:sz="4" w:space="0"/>
              <w:left w:val="single" w:color="auto" w:sz="4" w:space="0"/>
              <w:bottom w:val="single" w:color="auto" w:sz="4" w:space="0"/>
              <w:right w:val="single" w:color="auto" w:sz="4" w:space="0"/>
            </w:tcBorders>
          </w:tcPr>
          <w:p w14:paraId="6123C697">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3780" w:type="dxa"/>
            <w:tcBorders>
              <w:top w:val="single" w:color="auto" w:sz="4" w:space="0"/>
              <w:left w:val="single" w:color="auto" w:sz="4" w:space="0"/>
              <w:bottom w:val="single" w:color="auto" w:sz="4" w:space="0"/>
              <w:right w:val="single" w:color="auto" w:sz="4" w:space="0"/>
            </w:tcBorders>
            <w:vAlign w:val="center"/>
          </w:tcPr>
          <w:p w14:paraId="0EF537A8">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CEAA0FF">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82B4C4A">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18" w:type="dxa"/>
            <w:tcBorders>
              <w:top w:val="single" w:color="auto" w:sz="4" w:space="0"/>
              <w:left w:val="single" w:color="auto" w:sz="4" w:space="0"/>
              <w:bottom w:val="single" w:color="auto" w:sz="4" w:space="0"/>
              <w:right w:val="single" w:color="auto" w:sz="4" w:space="0"/>
            </w:tcBorders>
            <w:vAlign w:val="center"/>
          </w:tcPr>
          <w:p w14:paraId="2A4C19E9">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1262" w:type="dxa"/>
            <w:tcBorders>
              <w:top w:val="single" w:color="auto" w:sz="4" w:space="0"/>
              <w:left w:val="single" w:color="auto" w:sz="4" w:space="0"/>
              <w:bottom w:val="single" w:color="auto" w:sz="4" w:space="0"/>
              <w:right w:val="single" w:color="auto" w:sz="4" w:space="0"/>
            </w:tcBorders>
            <w:vAlign w:val="center"/>
          </w:tcPr>
          <w:p w14:paraId="1AA9B293">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r>
      <w:tr w14:paraId="1426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trPr>
        <w:tc>
          <w:tcPr>
            <w:tcW w:w="919" w:type="dxa"/>
            <w:tcBorders>
              <w:top w:val="single" w:color="auto" w:sz="4" w:space="0"/>
              <w:left w:val="single" w:color="auto" w:sz="4" w:space="0"/>
              <w:bottom w:val="single" w:color="auto" w:sz="4" w:space="0"/>
              <w:right w:val="single" w:color="auto" w:sz="4" w:space="0"/>
            </w:tcBorders>
            <w:vAlign w:val="center"/>
          </w:tcPr>
          <w:p w14:paraId="065C60A9">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6</w:t>
            </w:r>
          </w:p>
        </w:tc>
        <w:tc>
          <w:tcPr>
            <w:tcW w:w="5746" w:type="dxa"/>
            <w:tcBorders>
              <w:top w:val="single" w:color="auto" w:sz="4" w:space="0"/>
              <w:left w:val="single" w:color="auto" w:sz="4" w:space="0"/>
              <w:bottom w:val="single" w:color="auto" w:sz="4" w:space="0"/>
              <w:right w:val="single" w:color="auto" w:sz="4" w:space="0"/>
            </w:tcBorders>
          </w:tcPr>
          <w:p w14:paraId="616B360A">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3780" w:type="dxa"/>
            <w:tcBorders>
              <w:top w:val="single" w:color="auto" w:sz="4" w:space="0"/>
              <w:left w:val="single" w:color="auto" w:sz="4" w:space="0"/>
              <w:bottom w:val="single" w:color="auto" w:sz="4" w:space="0"/>
              <w:right w:val="single" w:color="auto" w:sz="4" w:space="0"/>
            </w:tcBorders>
            <w:vAlign w:val="center"/>
          </w:tcPr>
          <w:p w14:paraId="369E5CEE">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2BC144C">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3A670DCB">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18" w:type="dxa"/>
            <w:tcBorders>
              <w:top w:val="single" w:color="auto" w:sz="4" w:space="0"/>
              <w:left w:val="single" w:color="auto" w:sz="4" w:space="0"/>
              <w:bottom w:val="single" w:color="auto" w:sz="4" w:space="0"/>
              <w:right w:val="single" w:color="auto" w:sz="4" w:space="0"/>
            </w:tcBorders>
            <w:vAlign w:val="center"/>
          </w:tcPr>
          <w:p w14:paraId="641BC0A9">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1262" w:type="dxa"/>
            <w:tcBorders>
              <w:top w:val="single" w:color="auto" w:sz="4" w:space="0"/>
              <w:left w:val="single" w:color="auto" w:sz="4" w:space="0"/>
              <w:bottom w:val="single" w:color="auto" w:sz="4" w:space="0"/>
              <w:right w:val="single" w:color="auto" w:sz="4" w:space="0"/>
            </w:tcBorders>
            <w:vAlign w:val="center"/>
          </w:tcPr>
          <w:p w14:paraId="517B70F8">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r>
      <w:tr w14:paraId="6940D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exact"/>
        </w:trPr>
        <w:tc>
          <w:tcPr>
            <w:tcW w:w="919" w:type="dxa"/>
            <w:tcBorders>
              <w:top w:val="single" w:color="auto" w:sz="4" w:space="0"/>
              <w:left w:val="single" w:color="auto" w:sz="4" w:space="0"/>
              <w:bottom w:val="single" w:color="auto" w:sz="4" w:space="0"/>
              <w:right w:val="single" w:color="auto" w:sz="4" w:space="0"/>
            </w:tcBorders>
            <w:vAlign w:val="center"/>
          </w:tcPr>
          <w:p w14:paraId="0AC82965">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r>
              <w:rPr>
                <w:rFonts w:hint="eastAsia" w:ascii="宋体" w:hAnsi="宋体"/>
                <w:sz w:val="24"/>
              </w:rPr>
              <w:t>7</w:t>
            </w:r>
          </w:p>
        </w:tc>
        <w:tc>
          <w:tcPr>
            <w:tcW w:w="5746" w:type="dxa"/>
            <w:tcBorders>
              <w:top w:val="single" w:color="auto" w:sz="4" w:space="0"/>
              <w:left w:val="single" w:color="auto" w:sz="4" w:space="0"/>
              <w:bottom w:val="single" w:color="auto" w:sz="4" w:space="0"/>
              <w:right w:val="single" w:color="auto" w:sz="4" w:space="0"/>
            </w:tcBorders>
          </w:tcPr>
          <w:p w14:paraId="7D599FBB">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3780" w:type="dxa"/>
            <w:tcBorders>
              <w:top w:val="single" w:color="auto" w:sz="4" w:space="0"/>
              <w:left w:val="single" w:color="auto" w:sz="4" w:space="0"/>
              <w:bottom w:val="single" w:color="auto" w:sz="4" w:space="0"/>
              <w:right w:val="single" w:color="auto" w:sz="4" w:space="0"/>
            </w:tcBorders>
            <w:vAlign w:val="center"/>
          </w:tcPr>
          <w:p w14:paraId="246BE000">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9A371FA">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01CEAC5D">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718" w:type="dxa"/>
            <w:tcBorders>
              <w:top w:val="single" w:color="auto" w:sz="4" w:space="0"/>
              <w:left w:val="single" w:color="auto" w:sz="4" w:space="0"/>
              <w:bottom w:val="single" w:color="auto" w:sz="4" w:space="0"/>
              <w:right w:val="single" w:color="auto" w:sz="4" w:space="0"/>
            </w:tcBorders>
            <w:vAlign w:val="center"/>
          </w:tcPr>
          <w:p w14:paraId="11B19A7F">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c>
          <w:tcPr>
            <w:tcW w:w="1262" w:type="dxa"/>
            <w:tcBorders>
              <w:top w:val="single" w:color="auto" w:sz="4" w:space="0"/>
              <w:left w:val="single" w:color="auto" w:sz="4" w:space="0"/>
              <w:bottom w:val="single" w:color="auto" w:sz="4" w:space="0"/>
              <w:right w:val="single" w:color="auto" w:sz="4" w:space="0"/>
            </w:tcBorders>
            <w:vAlign w:val="center"/>
          </w:tcPr>
          <w:p w14:paraId="03DFF009">
            <w:pPr>
              <w:keepNext w:val="0"/>
              <w:keepLines w:val="0"/>
              <w:pageBreakBefore w:val="0"/>
              <w:kinsoku/>
              <w:overflowPunct/>
              <w:topLinePunct w:val="0"/>
              <w:bidi w:val="0"/>
              <w:snapToGrid w:val="0"/>
              <w:spacing w:beforeAutospacing="0" w:after="0" w:afterAutospacing="0" w:line="400" w:lineRule="exact"/>
              <w:jc w:val="center"/>
              <w:rPr>
                <w:rFonts w:ascii="宋体" w:hAnsi="宋体"/>
                <w:sz w:val="24"/>
              </w:rPr>
            </w:pPr>
          </w:p>
        </w:tc>
      </w:tr>
      <w:tr w14:paraId="04F13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0" w:hRule="atLeast"/>
        </w:trPr>
        <w:tc>
          <w:tcPr>
            <w:tcW w:w="13865" w:type="dxa"/>
            <w:gridSpan w:val="7"/>
            <w:tcBorders>
              <w:top w:val="single" w:color="auto" w:sz="4" w:space="0"/>
              <w:left w:val="single" w:color="auto" w:sz="4" w:space="0"/>
              <w:bottom w:val="single" w:color="auto" w:sz="4" w:space="0"/>
              <w:right w:val="single" w:color="auto" w:sz="4" w:space="0"/>
            </w:tcBorders>
            <w:vAlign w:val="center"/>
          </w:tcPr>
          <w:p w14:paraId="1CD9C659">
            <w:pPr>
              <w:keepNext w:val="0"/>
              <w:keepLines w:val="0"/>
              <w:pageBreakBefore w:val="0"/>
              <w:kinsoku/>
              <w:overflowPunct/>
              <w:topLinePunct w:val="0"/>
              <w:bidi w:val="0"/>
              <w:snapToGrid w:val="0"/>
              <w:spacing w:beforeAutospacing="0" w:after="0" w:afterAutospacing="0" w:line="400" w:lineRule="exact"/>
              <w:ind w:left="-107" w:leftChars="-51" w:firstLine="240" w:firstLineChars="100"/>
              <w:rPr>
                <w:rFonts w:ascii="宋体" w:hAnsi="宋体"/>
                <w:sz w:val="24"/>
              </w:rPr>
            </w:pPr>
            <w:r>
              <w:rPr>
                <w:rFonts w:hint="eastAsia" w:ascii="宋体" w:hAnsi="宋体"/>
                <w:sz w:val="24"/>
              </w:rPr>
              <w:t>备注：</w:t>
            </w:r>
          </w:p>
        </w:tc>
      </w:tr>
    </w:tbl>
    <w:p w14:paraId="6C7728AD">
      <w:pPr>
        <w:keepNext w:val="0"/>
        <w:keepLines w:val="0"/>
        <w:pageBreakBefore w:val="0"/>
        <w:kinsoku/>
        <w:overflowPunct/>
        <w:topLinePunct w:val="0"/>
        <w:bidi w:val="0"/>
        <w:snapToGrid w:val="0"/>
        <w:spacing w:beforeAutospacing="0" w:after="0" w:afterAutospacing="0"/>
        <w:rPr>
          <w:rFonts w:ascii="宋体"/>
          <w:sz w:val="24"/>
        </w:rPr>
      </w:pPr>
    </w:p>
    <w:sectPr>
      <w:pgSz w:w="16838" w:h="11906" w:orient="landscape"/>
      <w:pgMar w:top="1417" w:right="1531" w:bottom="1417" w:left="1531" w:header="283" w:footer="992" w:gutter="0"/>
      <w:pgBorders>
        <w:top w:val="none" w:sz="0" w:space="0"/>
        <w:left w:val="none" w:sz="0" w:space="0"/>
        <w:bottom w:val="none" w:sz="0" w:space="0"/>
        <w:right w:val="none" w:sz="0" w:space="0"/>
      </w:pgBorders>
      <w:pgNumType w:fmt="numberInDash"/>
      <w:cols w:space="72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B0604020202020204"/>
    <w:charset w:val="86"/>
    <w:family w:val="modern"/>
    <w:pitch w:val="default"/>
    <w:sig w:usb0="00000000" w:usb1="00000000" w:usb2="00000000" w:usb3="00000000" w:csb0="00040000" w:csb1="00000000"/>
  </w:font>
  <w:font w:name="Helvetica">
    <w:altName w:val="Arial"/>
    <w:panose1 w:val="00000000000000000000"/>
    <w:charset w:val="00"/>
    <w:family w:val="auto"/>
    <w:pitch w:val="default"/>
    <w:sig w:usb0="00000000" w:usb1="00000000" w:usb2="00000000" w:usb3="00000000" w:csb0="0000019F" w:csb1="00000000"/>
  </w:font>
  <w:font w:name="楷体_GB2312">
    <w:altName w:val="楷体"/>
    <w:panose1 w:val="020B0604020202020204"/>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Century Gothic">
    <w:altName w:val="NumberOnly"/>
    <w:panose1 w:val="020B0502020202020204"/>
    <w:charset w:val="00"/>
    <w:family w:val="swiss"/>
    <w:pitch w:val="default"/>
    <w:sig w:usb0="00000000" w:usb1="00000000" w:usb2="00000000" w:usb3="00000000" w:csb0="2000009F" w:csb1="DFD70000"/>
  </w:font>
  <w:font w:name="??">
    <w:altName w:val="微软雅黑"/>
    <w:panose1 w:val="020B0604020202020204"/>
    <w:charset w:val="00"/>
    <w:family w:val="auto"/>
    <w:pitch w:val="default"/>
    <w:sig w:usb0="00000000" w:usb1="00000000" w:usb2="00000000"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方正姚体">
    <w:altName w:val="宋体"/>
    <w:panose1 w:val="02010601030101010101"/>
    <w:charset w:val="86"/>
    <w:family w:val="auto"/>
    <w:pitch w:val="default"/>
    <w:sig w:usb0="00000000" w:usb1="00000000" w:usb2="00000000" w:usb3="00000000" w:csb0="00040000" w:csb1="00000000"/>
  </w:font>
  <w:font w:name="Century">
    <w:altName w:val="Nyala"/>
    <w:panose1 w:val="02040604050505020304"/>
    <w:charset w:val="00"/>
    <w:family w:val="roman"/>
    <w:pitch w:val="default"/>
    <w:sig w:usb0="00000000" w:usb1="00000000" w:usb2="00000000" w:usb3="00000000" w:csb0="2000009F" w:csb1="DFD70000"/>
  </w:font>
  <w:font w:name="MingLiU">
    <w:panose1 w:val="02020509000000000000"/>
    <w:charset w:val="88"/>
    <w:family w:val="modern"/>
    <w:pitch w:val="default"/>
    <w:sig w:usb0="A00002FF" w:usb1="28CFFCFA" w:usb2="00000016" w:usb3="00000000" w:csb0="00100001" w:csb1="00000000"/>
  </w:font>
  <w:font w:name="创艺简标宋">
    <w:altName w:val="黑体"/>
    <w:panose1 w:val="020B0604020202020204"/>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D9BFF">
    <w:pPr>
      <w:pStyle w:val="3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090A196">
                          <w:pPr>
                            <w:pStyle w:val="33"/>
                            <w:rPr>
                              <w:rFonts w:eastAsia="宋体"/>
                            </w:rPr>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UtVqs0BAACoAwAADgAAAGRycy9lMm9Eb2MueG1srVPNjtMwEL4j8Q6W&#10;7zRpk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YY24TVnTlh68cv3b5cfvy4/v7Jl&#10;0qcPWFHZQ6DCONz5gWrnOFIw0R5asOlLhBjlSd3zVV01RCbTpfVqvS4pJSk3O4RfPF4PgPGt8pYl&#10;o+ZAz5dVFaf3GMfSuSR1c/5eG5Of0Li/AoQ5RlTegel2YjJOnKw47IeJ3t43Z2LX0x7U3NHac2be&#10;OZI5rcxswGzsZ+MYQB86GnSZp8Rwe4w0Up40dRhhiWFy6AEz12nZ0ob86eeqxx9s+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UtVqs0BAACoAwAADgAAAAAAAAABACAAAAAeAQAAZHJzL2Uy&#10;b0RvYy54bWxQSwUGAAAAAAYABgBZAQAAXQUAAAAA&#10;">
              <v:fill on="f" focussize="0,0"/>
              <v:stroke on="f"/>
              <v:imagedata o:title=""/>
              <o:lock v:ext="edit" aspectratio="f"/>
              <v:textbox inset="0mm,0mm,0mm,0mm" style="mso-fit-shape-to-text:t;">
                <w:txbxContent>
                  <w:p w14:paraId="1090A196">
                    <w:pPr>
                      <w:pStyle w:val="33"/>
                      <w:rPr>
                        <w:rFonts w:eastAsia="宋体"/>
                      </w:rPr>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85ACC">
    <w:pPr>
      <w:pStyle w:val="3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07084FA">
                          <w:pPr>
                            <w:pStyle w:val="33"/>
                            <w:rPr>
                              <w:rFonts w:eastAsia="宋体"/>
                            </w:rPr>
                          </w:pPr>
                          <w:r>
                            <w:fldChar w:fldCharType="begin"/>
                          </w:r>
                          <w:r>
                            <w:instrText xml:space="preserve"> PAGE  \* MERGEFORMAT </w:instrText>
                          </w:r>
                          <w:r>
                            <w:fldChar w:fldCharType="separate"/>
                          </w:r>
                          <w:r>
                            <w:t>- 1 -</w:t>
                          </w:r>
                          <w: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Sus3QM0BAACoAwAADgAAAAAAAAABACAAAAAeAQAAZHJzL2Uy&#10;b0RvYy54bWxQSwUGAAAAAAYABgBZAQAAXQUAAAAA&#10;">
              <v:fill on="f" focussize="0,0"/>
              <v:stroke on="f"/>
              <v:imagedata o:title=""/>
              <o:lock v:ext="edit" aspectratio="f"/>
              <v:textbox inset="0mm,0mm,0mm,0mm" style="mso-fit-shape-to-text:t;">
                <w:txbxContent>
                  <w:p w14:paraId="407084FA">
                    <w:pPr>
                      <w:pStyle w:val="33"/>
                      <w:rPr>
                        <w:rFonts w:eastAsia="宋体"/>
                      </w:rPr>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D2967">
    <w:pPr>
      <w:pStyle w:val="3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E292564">
                          <w:pPr>
                            <w:pStyle w:val="33"/>
                            <w:rPr>
                              <w:rFonts w:eastAsia="宋体"/>
                            </w:rPr>
                          </w:pPr>
                          <w:r>
                            <w:fldChar w:fldCharType="begin"/>
                          </w:r>
                          <w:r>
                            <w:instrText xml:space="preserve"> PAGE  \* MERGEFORMAT </w:instrText>
                          </w:r>
                          <w:r>
                            <w:fldChar w:fldCharType="separate"/>
                          </w:r>
                          <w:r>
                            <w:t>- 3 -</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mWAHNs0BAACoAwAADgAAAAAAAAABACAAAAAeAQAAZHJzL2Uy&#10;b0RvYy54bWxQSwUGAAAAAAYABgBZAQAAXQUAAAAA&#10;">
              <v:fill on="f" focussize="0,0"/>
              <v:stroke on="f"/>
              <v:imagedata o:title=""/>
              <o:lock v:ext="edit" aspectratio="f"/>
              <v:textbox inset="0mm,0mm,0mm,0mm" style="mso-fit-shape-to-text:t;">
                <w:txbxContent>
                  <w:p w14:paraId="3E292564">
                    <w:pPr>
                      <w:pStyle w:val="33"/>
                      <w:rPr>
                        <w:rFonts w:eastAsia="宋体"/>
                      </w:rPr>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22786">
    <w:pPr>
      <w:pStyle w:val="33"/>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71214FD">
                          <w:pPr>
                            <w:pStyle w:val="33"/>
                            <w:rPr>
                              <w:rFonts w:eastAsia="宋体"/>
                            </w:rPr>
                          </w:pPr>
                          <w:r>
                            <w:fldChar w:fldCharType="begin"/>
                          </w:r>
                          <w:r>
                            <w:instrText xml:space="preserve"> PAGE  \* MERGEFORMAT </w:instrText>
                          </w:r>
                          <w:r>
                            <w:fldChar w:fldCharType="separate"/>
                          </w:r>
                          <w:r>
                            <w:t>- 49 -</w:t>
                          </w:r>
                          <w:r>
                            <w:fldChar w:fldCharType="end"/>
                          </w:r>
                        </w:p>
                      </w:txbxContent>
                    </wps:txbx>
                    <wps:bodyPr wrap="none" lIns="0" tIns="0" rIns="0" bIns="0" upright="1">
                      <a:spAutoFit/>
                    </wps:bodyPr>
                  </wps:wsp>
                </a:graphicData>
              </a:graphic>
            </wp:anchor>
          </w:drawing>
        </mc:Choice>
        <mc:Fallback>
          <w:pict>
            <v:shape id="文本框 1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ApNLwvOAQAAqQMAAA4AAAAAAAAAAQAgAAAAHgEAAGRycy9l&#10;Mm9Eb2MueG1sUEsFBgAAAAAGAAYAWQEAAF4FAAAAAA==&#10;">
              <v:fill on="f" focussize="0,0"/>
              <v:stroke on="f"/>
              <v:imagedata o:title=""/>
              <o:lock v:ext="edit" aspectratio="f"/>
              <v:textbox inset="0mm,0mm,0mm,0mm" style="mso-fit-shape-to-text:t;">
                <w:txbxContent>
                  <w:p w14:paraId="171214FD">
                    <w:pPr>
                      <w:pStyle w:val="33"/>
                      <w:rPr>
                        <w:rFonts w:eastAsia="宋体"/>
                      </w:rPr>
                    </w:pPr>
                    <w:r>
                      <w:fldChar w:fldCharType="begin"/>
                    </w:r>
                    <w:r>
                      <w:instrText xml:space="preserve"> PAGE  \* MERGEFORMAT </w:instrText>
                    </w:r>
                    <w:r>
                      <w:fldChar w:fldCharType="separate"/>
                    </w:r>
                    <w:r>
                      <w:t>- 49 -</w:t>
                    </w:r>
                    <w:r>
                      <w:fldChar w:fldCharType="end"/>
                    </w:r>
                  </w:p>
                </w:txbxContent>
              </v:textbox>
            </v:shape>
          </w:pict>
        </mc:Fallback>
      </mc:AlternateContent>
    </w:r>
  </w:p>
  <w:p w14:paraId="7BB30B0F">
    <w:pPr>
      <w:pStyle w:val="33"/>
      <w:spacing w:line="1" w:lineRule="exac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BBBCE">
    <w:pPr>
      <w:pStyle w:val="33"/>
      <w:jc w:val="center"/>
    </w:pPr>
    <w:r>
      <w:fldChar w:fldCharType="begin"/>
    </w:r>
    <w:r>
      <w:instrText xml:space="preserve"> PAGE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530AE">
    <w:pPr>
      <w:pStyle w:val="3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BCEF5">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A82E">
    <w:pPr>
      <w:rPr>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34636">
    <w:pPr>
      <w:pStyle w:val="34"/>
      <w:pBdr>
        <w:bottom w:val="none" w:color="auto" w:sz="0" w:space="0"/>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56E94">
    <w:pPr>
      <w:pStyle w:val="3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4A63C"/>
    <w:multiLevelType w:val="singleLevel"/>
    <w:tmpl w:val="D9C4A63C"/>
    <w:lvl w:ilvl="0" w:tentative="0">
      <w:start w:val="8"/>
      <w:numFmt w:val="chineseCounting"/>
      <w:suff w:val="nothing"/>
      <w:lvlText w:val="%1、"/>
      <w:lvlJc w:val="left"/>
      <w:rPr>
        <w:rFonts w:hint="eastAsia"/>
      </w:rPr>
    </w:lvl>
  </w:abstractNum>
  <w:abstractNum w:abstractNumId="1">
    <w:nsid w:val="F923553E"/>
    <w:multiLevelType w:val="singleLevel"/>
    <w:tmpl w:val="F923553E"/>
    <w:lvl w:ilvl="0" w:tentative="0">
      <w:start w:val="1"/>
      <w:numFmt w:val="decimal"/>
      <w:suff w:val="nothing"/>
      <w:lvlText w:val="（%1）"/>
      <w:lvlJc w:val="left"/>
      <w:rPr>
        <w:rFonts w:hint="default"/>
        <w:color w:val="auto"/>
      </w:rPr>
    </w:lvl>
  </w:abstractNum>
  <w:abstractNum w:abstractNumId="2">
    <w:nsid w:val="32F1B4E1"/>
    <w:multiLevelType w:val="singleLevel"/>
    <w:tmpl w:val="32F1B4E1"/>
    <w:lvl w:ilvl="0" w:tentative="0">
      <w:start w:val="1"/>
      <w:numFmt w:val="decimal"/>
      <w:suff w:val="space"/>
      <w:lvlText w:val="%1."/>
      <w:lvlJc w:val="left"/>
    </w:lvl>
  </w:abstractNum>
  <w:abstractNum w:abstractNumId="3">
    <w:nsid w:val="3A856CFD"/>
    <w:multiLevelType w:val="singleLevel"/>
    <w:tmpl w:val="3A856CFD"/>
    <w:lvl w:ilvl="0" w:tentative="0">
      <w:start w:val="1"/>
      <w:numFmt w:val="decimal"/>
      <w:suff w:val="nothing"/>
      <w:lvlText w:val="（%1）"/>
      <w:lvlJc w:val="left"/>
    </w:lvl>
  </w:abstractNum>
  <w:abstractNum w:abstractNumId="4">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decimal"/>
      <w:pStyle w:val="272"/>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763060DB"/>
    <w:multiLevelType w:val="multilevel"/>
    <w:tmpl w:val="763060DB"/>
    <w:lvl w:ilvl="0" w:tentative="0">
      <w:start w:val="1"/>
      <w:numFmt w:val="japaneseCounting"/>
      <w:lvlText w:val="第%1章"/>
      <w:lvlJc w:val="left"/>
      <w:pPr>
        <w:tabs>
          <w:tab w:val="left" w:pos="1455"/>
        </w:tabs>
        <w:ind w:left="1455" w:hanging="1275"/>
      </w:pPr>
      <w:rPr>
        <w:rFonts w:hint="eastAsia"/>
      </w:rPr>
    </w:lvl>
    <w:lvl w:ilvl="1" w:tentative="0">
      <w:start w:val="1"/>
      <w:numFmt w:val="japaneseCounting"/>
      <w:lvlText w:val="%2、"/>
      <w:lvlJc w:val="left"/>
      <w:pPr>
        <w:tabs>
          <w:tab w:val="left" w:pos="1320"/>
        </w:tabs>
        <w:ind w:left="1320" w:hanging="720"/>
      </w:pPr>
      <w:rPr>
        <w:rFonts w:hint="eastAsia"/>
      </w:r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num w:numId="1">
    <w:abstractNumId w:val="4"/>
  </w:num>
  <w:num w:numId="2">
    <w:abstractNumId w:val="5"/>
    <w:lvlOverride w:ilvl="0">
      <w:startOverride w:val="1"/>
    </w:lvlOverride>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oNotHyphenateCaps/>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xMTkyMzBlYzc2MDY5MzVmYTNkMDg3NTUzNmY0ZTQifQ=="/>
  </w:docVars>
  <w:rsids>
    <w:rsidRoot w:val="00172A27"/>
    <w:rsid w:val="000000D1"/>
    <w:rsid w:val="000002A2"/>
    <w:rsid w:val="00000340"/>
    <w:rsid w:val="000006C3"/>
    <w:rsid w:val="00000DCA"/>
    <w:rsid w:val="000018F0"/>
    <w:rsid w:val="0000191A"/>
    <w:rsid w:val="00001AEE"/>
    <w:rsid w:val="00001C58"/>
    <w:rsid w:val="00001E53"/>
    <w:rsid w:val="000020C7"/>
    <w:rsid w:val="0000210D"/>
    <w:rsid w:val="0000211C"/>
    <w:rsid w:val="00002191"/>
    <w:rsid w:val="000022B1"/>
    <w:rsid w:val="000025F1"/>
    <w:rsid w:val="0000277E"/>
    <w:rsid w:val="00002B8F"/>
    <w:rsid w:val="00002BBE"/>
    <w:rsid w:val="00003094"/>
    <w:rsid w:val="000034C3"/>
    <w:rsid w:val="000045BE"/>
    <w:rsid w:val="00004B38"/>
    <w:rsid w:val="00004CA3"/>
    <w:rsid w:val="00004CC2"/>
    <w:rsid w:val="00004E09"/>
    <w:rsid w:val="00004FF1"/>
    <w:rsid w:val="000056BA"/>
    <w:rsid w:val="000059AB"/>
    <w:rsid w:val="000059C9"/>
    <w:rsid w:val="000060A9"/>
    <w:rsid w:val="00006A51"/>
    <w:rsid w:val="00006AE1"/>
    <w:rsid w:val="00007170"/>
    <w:rsid w:val="000071E6"/>
    <w:rsid w:val="00007291"/>
    <w:rsid w:val="00007A56"/>
    <w:rsid w:val="00010555"/>
    <w:rsid w:val="00010E41"/>
    <w:rsid w:val="00011286"/>
    <w:rsid w:val="000115EC"/>
    <w:rsid w:val="0001172B"/>
    <w:rsid w:val="0001266B"/>
    <w:rsid w:val="00012A8D"/>
    <w:rsid w:val="00012B66"/>
    <w:rsid w:val="00013496"/>
    <w:rsid w:val="00013AA1"/>
    <w:rsid w:val="00013AB2"/>
    <w:rsid w:val="00013D8D"/>
    <w:rsid w:val="00013E3C"/>
    <w:rsid w:val="00013EC1"/>
    <w:rsid w:val="000147F2"/>
    <w:rsid w:val="0001611A"/>
    <w:rsid w:val="00016430"/>
    <w:rsid w:val="0001652B"/>
    <w:rsid w:val="00016FC5"/>
    <w:rsid w:val="00017153"/>
    <w:rsid w:val="000172BC"/>
    <w:rsid w:val="00017B58"/>
    <w:rsid w:val="00020546"/>
    <w:rsid w:val="00020694"/>
    <w:rsid w:val="000207CB"/>
    <w:rsid w:val="000209DD"/>
    <w:rsid w:val="000209DF"/>
    <w:rsid w:val="00020C08"/>
    <w:rsid w:val="00020FDC"/>
    <w:rsid w:val="00021008"/>
    <w:rsid w:val="000214FC"/>
    <w:rsid w:val="0002173B"/>
    <w:rsid w:val="00021D0C"/>
    <w:rsid w:val="00021DF8"/>
    <w:rsid w:val="0002231B"/>
    <w:rsid w:val="00022470"/>
    <w:rsid w:val="00022478"/>
    <w:rsid w:val="0002272E"/>
    <w:rsid w:val="00022E02"/>
    <w:rsid w:val="00023147"/>
    <w:rsid w:val="00023774"/>
    <w:rsid w:val="000239A1"/>
    <w:rsid w:val="00023DC7"/>
    <w:rsid w:val="00023DF1"/>
    <w:rsid w:val="00023E04"/>
    <w:rsid w:val="00024FA5"/>
    <w:rsid w:val="0002611F"/>
    <w:rsid w:val="0002628D"/>
    <w:rsid w:val="00026F23"/>
    <w:rsid w:val="00027140"/>
    <w:rsid w:val="00027623"/>
    <w:rsid w:val="000277B1"/>
    <w:rsid w:val="00027E31"/>
    <w:rsid w:val="00030010"/>
    <w:rsid w:val="00030029"/>
    <w:rsid w:val="00030527"/>
    <w:rsid w:val="00031018"/>
    <w:rsid w:val="00031987"/>
    <w:rsid w:val="00031997"/>
    <w:rsid w:val="000319DA"/>
    <w:rsid w:val="00031C2E"/>
    <w:rsid w:val="00032B05"/>
    <w:rsid w:val="00032B28"/>
    <w:rsid w:val="00033B46"/>
    <w:rsid w:val="00033CA6"/>
    <w:rsid w:val="00034021"/>
    <w:rsid w:val="000348B2"/>
    <w:rsid w:val="00034EA7"/>
    <w:rsid w:val="00035005"/>
    <w:rsid w:val="000352EC"/>
    <w:rsid w:val="0003568B"/>
    <w:rsid w:val="0003613C"/>
    <w:rsid w:val="00036568"/>
    <w:rsid w:val="000366E3"/>
    <w:rsid w:val="000377F6"/>
    <w:rsid w:val="0003788B"/>
    <w:rsid w:val="000379B8"/>
    <w:rsid w:val="00040139"/>
    <w:rsid w:val="000401F4"/>
    <w:rsid w:val="00040A37"/>
    <w:rsid w:val="00041488"/>
    <w:rsid w:val="00041B03"/>
    <w:rsid w:val="00041BFA"/>
    <w:rsid w:val="00042172"/>
    <w:rsid w:val="000422F1"/>
    <w:rsid w:val="00042506"/>
    <w:rsid w:val="0004252B"/>
    <w:rsid w:val="00042671"/>
    <w:rsid w:val="000428D7"/>
    <w:rsid w:val="00042FD0"/>
    <w:rsid w:val="00044A91"/>
    <w:rsid w:val="00044BF9"/>
    <w:rsid w:val="00044F2F"/>
    <w:rsid w:val="00045AFA"/>
    <w:rsid w:val="00046007"/>
    <w:rsid w:val="00046DFA"/>
    <w:rsid w:val="000470B3"/>
    <w:rsid w:val="000471B0"/>
    <w:rsid w:val="00047702"/>
    <w:rsid w:val="0005032D"/>
    <w:rsid w:val="00050722"/>
    <w:rsid w:val="0005082A"/>
    <w:rsid w:val="000512D9"/>
    <w:rsid w:val="00051646"/>
    <w:rsid w:val="00051BCC"/>
    <w:rsid w:val="0005217D"/>
    <w:rsid w:val="00052223"/>
    <w:rsid w:val="000522D9"/>
    <w:rsid w:val="00052444"/>
    <w:rsid w:val="000529BF"/>
    <w:rsid w:val="000537E7"/>
    <w:rsid w:val="00053CBC"/>
    <w:rsid w:val="00054070"/>
    <w:rsid w:val="0005431E"/>
    <w:rsid w:val="00054EC2"/>
    <w:rsid w:val="00054F75"/>
    <w:rsid w:val="0005501E"/>
    <w:rsid w:val="0005526B"/>
    <w:rsid w:val="000556E1"/>
    <w:rsid w:val="00055770"/>
    <w:rsid w:val="00055D0A"/>
    <w:rsid w:val="0005678F"/>
    <w:rsid w:val="00056DB9"/>
    <w:rsid w:val="00056E9A"/>
    <w:rsid w:val="00056F29"/>
    <w:rsid w:val="00056FA5"/>
    <w:rsid w:val="000579F2"/>
    <w:rsid w:val="00057BDA"/>
    <w:rsid w:val="00057C66"/>
    <w:rsid w:val="00060357"/>
    <w:rsid w:val="0006094A"/>
    <w:rsid w:val="00060A26"/>
    <w:rsid w:val="0006133B"/>
    <w:rsid w:val="0006137D"/>
    <w:rsid w:val="000614D3"/>
    <w:rsid w:val="00061705"/>
    <w:rsid w:val="00061DDD"/>
    <w:rsid w:val="000621A8"/>
    <w:rsid w:val="00063B88"/>
    <w:rsid w:val="00063DA9"/>
    <w:rsid w:val="00064897"/>
    <w:rsid w:val="00064B0B"/>
    <w:rsid w:val="0006534E"/>
    <w:rsid w:val="000656B7"/>
    <w:rsid w:val="00065932"/>
    <w:rsid w:val="00065ADF"/>
    <w:rsid w:val="00065BDA"/>
    <w:rsid w:val="000669FB"/>
    <w:rsid w:val="00067099"/>
    <w:rsid w:val="00067212"/>
    <w:rsid w:val="00067333"/>
    <w:rsid w:val="0006776B"/>
    <w:rsid w:val="00067F5F"/>
    <w:rsid w:val="00070199"/>
    <w:rsid w:val="00070801"/>
    <w:rsid w:val="0007096D"/>
    <w:rsid w:val="000715BA"/>
    <w:rsid w:val="00071901"/>
    <w:rsid w:val="00071A99"/>
    <w:rsid w:val="00071F17"/>
    <w:rsid w:val="00072BA1"/>
    <w:rsid w:val="00072D2C"/>
    <w:rsid w:val="00072D2E"/>
    <w:rsid w:val="00073031"/>
    <w:rsid w:val="00074094"/>
    <w:rsid w:val="00074586"/>
    <w:rsid w:val="00074682"/>
    <w:rsid w:val="00074B32"/>
    <w:rsid w:val="00075DD1"/>
    <w:rsid w:val="00077966"/>
    <w:rsid w:val="00077DFF"/>
    <w:rsid w:val="00077E69"/>
    <w:rsid w:val="00080056"/>
    <w:rsid w:val="000800BF"/>
    <w:rsid w:val="000802AD"/>
    <w:rsid w:val="000802EB"/>
    <w:rsid w:val="00081768"/>
    <w:rsid w:val="0008229D"/>
    <w:rsid w:val="000829AA"/>
    <w:rsid w:val="000829AE"/>
    <w:rsid w:val="00082D59"/>
    <w:rsid w:val="000834A4"/>
    <w:rsid w:val="0008365F"/>
    <w:rsid w:val="000838F4"/>
    <w:rsid w:val="00084863"/>
    <w:rsid w:val="000849AC"/>
    <w:rsid w:val="000849AF"/>
    <w:rsid w:val="00084EA2"/>
    <w:rsid w:val="000857BE"/>
    <w:rsid w:val="000860C3"/>
    <w:rsid w:val="00086303"/>
    <w:rsid w:val="00086BF9"/>
    <w:rsid w:val="00086DF1"/>
    <w:rsid w:val="00086FE5"/>
    <w:rsid w:val="0008719C"/>
    <w:rsid w:val="000871BC"/>
    <w:rsid w:val="00087D00"/>
    <w:rsid w:val="0009033F"/>
    <w:rsid w:val="00090353"/>
    <w:rsid w:val="00090906"/>
    <w:rsid w:val="00090939"/>
    <w:rsid w:val="00090EB3"/>
    <w:rsid w:val="00091CF0"/>
    <w:rsid w:val="000927D1"/>
    <w:rsid w:val="00092858"/>
    <w:rsid w:val="000929C0"/>
    <w:rsid w:val="00092CBE"/>
    <w:rsid w:val="00092DAD"/>
    <w:rsid w:val="00092E33"/>
    <w:rsid w:val="00093561"/>
    <w:rsid w:val="0009361E"/>
    <w:rsid w:val="0009467F"/>
    <w:rsid w:val="0009491B"/>
    <w:rsid w:val="00094BF1"/>
    <w:rsid w:val="00094E44"/>
    <w:rsid w:val="00094ED7"/>
    <w:rsid w:val="000956AB"/>
    <w:rsid w:val="000956CF"/>
    <w:rsid w:val="00095EEF"/>
    <w:rsid w:val="000963A0"/>
    <w:rsid w:val="00096A58"/>
    <w:rsid w:val="00097712"/>
    <w:rsid w:val="00097914"/>
    <w:rsid w:val="000979B7"/>
    <w:rsid w:val="000A01B3"/>
    <w:rsid w:val="000A062B"/>
    <w:rsid w:val="000A0F96"/>
    <w:rsid w:val="000A11CC"/>
    <w:rsid w:val="000A13D3"/>
    <w:rsid w:val="000A17F0"/>
    <w:rsid w:val="000A1EF5"/>
    <w:rsid w:val="000A2196"/>
    <w:rsid w:val="000A22C1"/>
    <w:rsid w:val="000A2595"/>
    <w:rsid w:val="000A282E"/>
    <w:rsid w:val="000A374D"/>
    <w:rsid w:val="000A3B2C"/>
    <w:rsid w:val="000A3D2D"/>
    <w:rsid w:val="000A458D"/>
    <w:rsid w:val="000A48F4"/>
    <w:rsid w:val="000A53E7"/>
    <w:rsid w:val="000A555B"/>
    <w:rsid w:val="000A5803"/>
    <w:rsid w:val="000A5D1A"/>
    <w:rsid w:val="000A5ED4"/>
    <w:rsid w:val="000A62F2"/>
    <w:rsid w:val="000A6B19"/>
    <w:rsid w:val="000A7109"/>
    <w:rsid w:val="000A71AC"/>
    <w:rsid w:val="000A7272"/>
    <w:rsid w:val="000A7D5B"/>
    <w:rsid w:val="000A7F16"/>
    <w:rsid w:val="000B0514"/>
    <w:rsid w:val="000B0692"/>
    <w:rsid w:val="000B0F89"/>
    <w:rsid w:val="000B1031"/>
    <w:rsid w:val="000B1454"/>
    <w:rsid w:val="000B1AD5"/>
    <w:rsid w:val="000B289B"/>
    <w:rsid w:val="000B296D"/>
    <w:rsid w:val="000B298B"/>
    <w:rsid w:val="000B34F0"/>
    <w:rsid w:val="000B350F"/>
    <w:rsid w:val="000B3668"/>
    <w:rsid w:val="000B3E38"/>
    <w:rsid w:val="000B41DE"/>
    <w:rsid w:val="000B4283"/>
    <w:rsid w:val="000B45A1"/>
    <w:rsid w:val="000B5599"/>
    <w:rsid w:val="000B5D4A"/>
    <w:rsid w:val="000B6150"/>
    <w:rsid w:val="000B6D06"/>
    <w:rsid w:val="000B6F53"/>
    <w:rsid w:val="000B729C"/>
    <w:rsid w:val="000B7915"/>
    <w:rsid w:val="000C00F8"/>
    <w:rsid w:val="000C023C"/>
    <w:rsid w:val="000C03B9"/>
    <w:rsid w:val="000C058A"/>
    <w:rsid w:val="000C0651"/>
    <w:rsid w:val="000C0B43"/>
    <w:rsid w:val="000C116D"/>
    <w:rsid w:val="000C12AF"/>
    <w:rsid w:val="000C14AB"/>
    <w:rsid w:val="000C2151"/>
    <w:rsid w:val="000C264D"/>
    <w:rsid w:val="000C2DA5"/>
    <w:rsid w:val="000C2EA8"/>
    <w:rsid w:val="000C2F06"/>
    <w:rsid w:val="000C31AB"/>
    <w:rsid w:val="000C3624"/>
    <w:rsid w:val="000C36B9"/>
    <w:rsid w:val="000C3D07"/>
    <w:rsid w:val="000C3FFB"/>
    <w:rsid w:val="000C410C"/>
    <w:rsid w:val="000C4147"/>
    <w:rsid w:val="000C427E"/>
    <w:rsid w:val="000C49E2"/>
    <w:rsid w:val="000C5BA4"/>
    <w:rsid w:val="000C6028"/>
    <w:rsid w:val="000C61CB"/>
    <w:rsid w:val="000C66BE"/>
    <w:rsid w:val="000C7237"/>
    <w:rsid w:val="000C72E2"/>
    <w:rsid w:val="000C75B4"/>
    <w:rsid w:val="000C7B74"/>
    <w:rsid w:val="000D022F"/>
    <w:rsid w:val="000D054B"/>
    <w:rsid w:val="000D07D1"/>
    <w:rsid w:val="000D134D"/>
    <w:rsid w:val="000D13F5"/>
    <w:rsid w:val="000D18A3"/>
    <w:rsid w:val="000D2726"/>
    <w:rsid w:val="000D2790"/>
    <w:rsid w:val="000D2907"/>
    <w:rsid w:val="000D2BA9"/>
    <w:rsid w:val="000D311D"/>
    <w:rsid w:val="000D4867"/>
    <w:rsid w:val="000D4A39"/>
    <w:rsid w:val="000D50BC"/>
    <w:rsid w:val="000D5631"/>
    <w:rsid w:val="000D5C55"/>
    <w:rsid w:val="000D5D1D"/>
    <w:rsid w:val="000D6AE5"/>
    <w:rsid w:val="000D6EB9"/>
    <w:rsid w:val="000D6F4F"/>
    <w:rsid w:val="000D7988"/>
    <w:rsid w:val="000E080F"/>
    <w:rsid w:val="000E10BD"/>
    <w:rsid w:val="000E13A3"/>
    <w:rsid w:val="000E1919"/>
    <w:rsid w:val="000E1BB5"/>
    <w:rsid w:val="000E1CBB"/>
    <w:rsid w:val="000E2319"/>
    <w:rsid w:val="000E28F6"/>
    <w:rsid w:val="000E2A9C"/>
    <w:rsid w:val="000E2F07"/>
    <w:rsid w:val="000E32FB"/>
    <w:rsid w:val="000E3467"/>
    <w:rsid w:val="000E38A6"/>
    <w:rsid w:val="000E3A69"/>
    <w:rsid w:val="000E3E1F"/>
    <w:rsid w:val="000E3EBB"/>
    <w:rsid w:val="000E3EF9"/>
    <w:rsid w:val="000E4640"/>
    <w:rsid w:val="000E5664"/>
    <w:rsid w:val="000E5F83"/>
    <w:rsid w:val="000E5FB0"/>
    <w:rsid w:val="000E6C65"/>
    <w:rsid w:val="000E7413"/>
    <w:rsid w:val="000E76F5"/>
    <w:rsid w:val="000E7AEE"/>
    <w:rsid w:val="000E7F9B"/>
    <w:rsid w:val="000F0BBD"/>
    <w:rsid w:val="000F0E24"/>
    <w:rsid w:val="000F1085"/>
    <w:rsid w:val="000F1C74"/>
    <w:rsid w:val="000F1D40"/>
    <w:rsid w:val="000F1D96"/>
    <w:rsid w:val="000F1F3B"/>
    <w:rsid w:val="000F2830"/>
    <w:rsid w:val="000F2CFE"/>
    <w:rsid w:val="000F337D"/>
    <w:rsid w:val="000F4916"/>
    <w:rsid w:val="000F526E"/>
    <w:rsid w:val="000F53DF"/>
    <w:rsid w:val="000F5571"/>
    <w:rsid w:val="000F5E48"/>
    <w:rsid w:val="000F65B7"/>
    <w:rsid w:val="000F65F9"/>
    <w:rsid w:val="000F661C"/>
    <w:rsid w:val="000F7306"/>
    <w:rsid w:val="000F73D1"/>
    <w:rsid w:val="000F7A54"/>
    <w:rsid w:val="000F7CBC"/>
    <w:rsid w:val="000F7E29"/>
    <w:rsid w:val="00101A17"/>
    <w:rsid w:val="00101ADC"/>
    <w:rsid w:val="00101DD0"/>
    <w:rsid w:val="00101E0D"/>
    <w:rsid w:val="00102505"/>
    <w:rsid w:val="001025AB"/>
    <w:rsid w:val="0010263A"/>
    <w:rsid w:val="001028D9"/>
    <w:rsid w:val="0010336D"/>
    <w:rsid w:val="001034FE"/>
    <w:rsid w:val="00103B4E"/>
    <w:rsid w:val="00103EFE"/>
    <w:rsid w:val="001042F9"/>
    <w:rsid w:val="00104D94"/>
    <w:rsid w:val="00105129"/>
    <w:rsid w:val="00105267"/>
    <w:rsid w:val="0010605E"/>
    <w:rsid w:val="00106316"/>
    <w:rsid w:val="00106C62"/>
    <w:rsid w:val="00110C02"/>
    <w:rsid w:val="00110DDE"/>
    <w:rsid w:val="00111522"/>
    <w:rsid w:val="00111632"/>
    <w:rsid w:val="00111663"/>
    <w:rsid w:val="0011179A"/>
    <w:rsid w:val="001122F7"/>
    <w:rsid w:val="00112331"/>
    <w:rsid w:val="00112610"/>
    <w:rsid w:val="00112A92"/>
    <w:rsid w:val="00113256"/>
    <w:rsid w:val="00113257"/>
    <w:rsid w:val="001133A4"/>
    <w:rsid w:val="00113454"/>
    <w:rsid w:val="00113DAD"/>
    <w:rsid w:val="00114218"/>
    <w:rsid w:val="00114324"/>
    <w:rsid w:val="00114EE8"/>
    <w:rsid w:val="001153D2"/>
    <w:rsid w:val="00115675"/>
    <w:rsid w:val="00115684"/>
    <w:rsid w:val="001157F1"/>
    <w:rsid w:val="00115A2C"/>
    <w:rsid w:val="001165E5"/>
    <w:rsid w:val="00116A16"/>
    <w:rsid w:val="00117415"/>
    <w:rsid w:val="001174B5"/>
    <w:rsid w:val="00117A1E"/>
    <w:rsid w:val="0012006F"/>
    <w:rsid w:val="0012113F"/>
    <w:rsid w:val="001213E2"/>
    <w:rsid w:val="001227BD"/>
    <w:rsid w:val="00122889"/>
    <w:rsid w:val="00122934"/>
    <w:rsid w:val="0012341D"/>
    <w:rsid w:val="00123770"/>
    <w:rsid w:val="00123FE5"/>
    <w:rsid w:val="00124652"/>
    <w:rsid w:val="001249BA"/>
    <w:rsid w:val="00124E0A"/>
    <w:rsid w:val="001252B5"/>
    <w:rsid w:val="00125932"/>
    <w:rsid w:val="00125D29"/>
    <w:rsid w:val="00126231"/>
    <w:rsid w:val="00126DE1"/>
    <w:rsid w:val="00127230"/>
    <w:rsid w:val="00127449"/>
    <w:rsid w:val="00127B05"/>
    <w:rsid w:val="00127DC2"/>
    <w:rsid w:val="00130534"/>
    <w:rsid w:val="00130ED0"/>
    <w:rsid w:val="001310CD"/>
    <w:rsid w:val="00131901"/>
    <w:rsid w:val="00131A38"/>
    <w:rsid w:val="00131BCA"/>
    <w:rsid w:val="00132695"/>
    <w:rsid w:val="001327F8"/>
    <w:rsid w:val="001333CA"/>
    <w:rsid w:val="001335B7"/>
    <w:rsid w:val="00133652"/>
    <w:rsid w:val="00133C59"/>
    <w:rsid w:val="001346C0"/>
    <w:rsid w:val="001347AF"/>
    <w:rsid w:val="001349D3"/>
    <w:rsid w:val="00134F5D"/>
    <w:rsid w:val="00134F8A"/>
    <w:rsid w:val="001356E9"/>
    <w:rsid w:val="00135A0B"/>
    <w:rsid w:val="00135C76"/>
    <w:rsid w:val="00135CC8"/>
    <w:rsid w:val="00135F78"/>
    <w:rsid w:val="00135FC4"/>
    <w:rsid w:val="00136873"/>
    <w:rsid w:val="00136BC7"/>
    <w:rsid w:val="00137279"/>
    <w:rsid w:val="00137581"/>
    <w:rsid w:val="0013769A"/>
    <w:rsid w:val="0013788C"/>
    <w:rsid w:val="00137CD2"/>
    <w:rsid w:val="001405B3"/>
    <w:rsid w:val="001409FE"/>
    <w:rsid w:val="00140F8E"/>
    <w:rsid w:val="0014154B"/>
    <w:rsid w:val="001415D3"/>
    <w:rsid w:val="001418EA"/>
    <w:rsid w:val="00141D98"/>
    <w:rsid w:val="00142477"/>
    <w:rsid w:val="001426FA"/>
    <w:rsid w:val="00142D5D"/>
    <w:rsid w:val="001436A3"/>
    <w:rsid w:val="001436B8"/>
    <w:rsid w:val="00143B64"/>
    <w:rsid w:val="00143C11"/>
    <w:rsid w:val="00143FC3"/>
    <w:rsid w:val="001444C0"/>
    <w:rsid w:val="001447BE"/>
    <w:rsid w:val="00144E73"/>
    <w:rsid w:val="00145171"/>
    <w:rsid w:val="001457E6"/>
    <w:rsid w:val="00145937"/>
    <w:rsid w:val="00146370"/>
    <w:rsid w:val="0014659B"/>
    <w:rsid w:val="00146E75"/>
    <w:rsid w:val="0014772C"/>
    <w:rsid w:val="00147BAD"/>
    <w:rsid w:val="00147BB4"/>
    <w:rsid w:val="00147C3C"/>
    <w:rsid w:val="00150086"/>
    <w:rsid w:val="001500F8"/>
    <w:rsid w:val="00150124"/>
    <w:rsid w:val="0015031F"/>
    <w:rsid w:val="00150728"/>
    <w:rsid w:val="00150835"/>
    <w:rsid w:val="00150EBE"/>
    <w:rsid w:val="00150F33"/>
    <w:rsid w:val="00151564"/>
    <w:rsid w:val="0015185A"/>
    <w:rsid w:val="00151B14"/>
    <w:rsid w:val="0015246F"/>
    <w:rsid w:val="00152D50"/>
    <w:rsid w:val="00152EAB"/>
    <w:rsid w:val="00153188"/>
    <w:rsid w:val="001534AF"/>
    <w:rsid w:val="001536C6"/>
    <w:rsid w:val="00153CF2"/>
    <w:rsid w:val="001548A6"/>
    <w:rsid w:val="00154A9B"/>
    <w:rsid w:val="00155062"/>
    <w:rsid w:val="00155067"/>
    <w:rsid w:val="001556C6"/>
    <w:rsid w:val="001558D7"/>
    <w:rsid w:val="00155A78"/>
    <w:rsid w:val="00155DA2"/>
    <w:rsid w:val="00155E9F"/>
    <w:rsid w:val="00156279"/>
    <w:rsid w:val="00160615"/>
    <w:rsid w:val="001607BB"/>
    <w:rsid w:val="001608F6"/>
    <w:rsid w:val="00160A16"/>
    <w:rsid w:val="00160A35"/>
    <w:rsid w:val="00160C7C"/>
    <w:rsid w:val="00161F43"/>
    <w:rsid w:val="00162187"/>
    <w:rsid w:val="001625A1"/>
    <w:rsid w:val="001626E2"/>
    <w:rsid w:val="00162977"/>
    <w:rsid w:val="00162BC7"/>
    <w:rsid w:val="00162CC6"/>
    <w:rsid w:val="00162D09"/>
    <w:rsid w:val="00163D4C"/>
    <w:rsid w:val="00164022"/>
    <w:rsid w:val="00165379"/>
    <w:rsid w:val="001657D8"/>
    <w:rsid w:val="00166065"/>
    <w:rsid w:val="00166616"/>
    <w:rsid w:val="00166623"/>
    <w:rsid w:val="00166A27"/>
    <w:rsid w:val="00166ECA"/>
    <w:rsid w:val="00166F0D"/>
    <w:rsid w:val="00167159"/>
    <w:rsid w:val="001676C8"/>
    <w:rsid w:val="00167780"/>
    <w:rsid w:val="0017036E"/>
    <w:rsid w:val="00170712"/>
    <w:rsid w:val="00170926"/>
    <w:rsid w:val="0017115A"/>
    <w:rsid w:val="001719FF"/>
    <w:rsid w:val="00171A9B"/>
    <w:rsid w:val="00171D95"/>
    <w:rsid w:val="00172A1E"/>
    <w:rsid w:val="00172A27"/>
    <w:rsid w:val="00172EA3"/>
    <w:rsid w:val="001732D9"/>
    <w:rsid w:val="00173C45"/>
    <w:rsid w:val="00173CC1"/>
    <w:rsid w:val="00173F6A"/>
    <w:rsid w:val="001744A9"/>
    <w:rsid w:val="00174832"/>
    <w:rsid w:val="00174B2D"/>
    <w:rsid w:val="00174BB3"/>
    <w:rsid w:val="00174DC9"/>
    <w:rsid w:val="001752F1"/>
    <w:rsid w:val="001759DE"/>
    <w:rsid w:val="001761FE"/>
    <w:rsid w:val="0017679C"/>
    <w:rsid w:val="00176916"/>
    <w:rsid w:val="00176970"/>
    <w:rsid w:val="00177E06"/>
    <w:rsid w:val="0018010F"/>
    <w:rsid w:val="00180226"/>
    <w:rsid w:val="0018035D"/>
    <w:rsid w:val="001804BC"/>
    <w:rsid w:val="001806FF"/>
    <w:rsid w:val="00181066"/>
    <w:rsid w:val="0018158B"/>
    <w:rsid w:val="00181A3D"/>
    <w:rsid w:val="00181B0B"/>
    <w:rsid w:val="00181F16"/>
    <w:rsid w:val="00182760"/>
    <w:rsid w:val="00182B9B"/>
    <w:rsid w:val="00183074"/>
    <w:rsid w:val="0018498C"/>
    <w:rsid w:val="00184D4D"/>
    <w:rsid w:val="001857AE"/>
    <w:rsid w:val="0018581A"/>
    <w:rsid w:val="00186170"/>
    <w:rsid w:val="001864FB"/>
    <w:rsid w:val="00186CB8"/>
    <w:rsid w:val="001871E5"/>
    <w:rsid w:val="001875F0"/>
    <w:rsid w:val="00187E5D"/>
    <w:rsid w:val="001904E6"/>
    <w:rsid w:val="001906B2"/>
    <w:rsid w:val="00190B0C"/>
    <w:rsid w:val="00190C05"/>
    <w:rsid w:val="00190CD0"/>
    <w:rsid w:val="0019156B"/>
    <w:rsid w:val="0019161B"/>
    <w:rsid w:val="00191832"/>
    <w:rsid w:val="001918A0"/>
    <w:rsid w:val="00191946"/>
    <w:rsid w:val="00191B21"/>
    <w:rsid w:val="00191EA2"/>
    <w:rsid w:val="001920FF"/>
    <w:rsid w:val="001945BC"/>
    <w:rsid w:val="00194ADD"/>
    <w:rsid w:val="001959C8"/>
    <w:rsid w:val="00195DFA"/>
    <w:rsid w:val="00196246"/>
    <w:rsid w:val="001966F5"/>
    <w:rsid w:val="00196C84"/>
    <w:rsid w:val="00196E85"/>
    <w:rsid w:val="00196EC4"/>
    <w:rsid w:val="00197367"/>
    <w:rsid w:val="00197565"/>
    <w:rsid w:val="001A07B0"/>
    <w:rsid w:val="001A0E37"/>
    <w:rsid w:val="001A11F8"/>
    <w:rsid w:val="001A135D"/>
    <w:rsid w:val="001A1C07"/>
    <w:rsid w:val="001A1DCF"/>
    <w:rsid w:val="001A2321"/>
    <w:rsid w:val="001A2943"/>
    <w:rsid w:val="001A29FC"/>
    <w:rsid w:val="001A2AF5"/>
    <w:rsid w:val="001A36A1"/>
    <w:rsid w:val="001A39FB"/>
    <w:rsid w:val="001A3FB5"/>
    <w:rsid w:val="001A4080"/>
    <w:rsid w:val="001A4245"/>
    <w:rsid w:val="001A508B"/>
    <w:rsid w:val="001A5359"/>
    <w:rsid w:val="001A550B"/>
    <w:rsid w:val="001A55EC"/>
    <w:rsid w:val="001A57B6"/>
    <w:rsid w:val="001A5D7E"/>
    <w:rsid w:val="001A6889"/>
    <w:rsid w:val="001A6A12"/>
    <w:rsid w:val="001A71F0"/>
    <w:rsid w:val="001A7444"/>
    <w:rsid w:val="001A76C0"/>
    <w:rsid w:val="001B00A4"/>
    <w:rsid w:val="001B06B2"/>
    <w:rsid w:val="001B083D"/>
    <w:rsid w:val="001B09AF"/>
    <w:rsid w:val="001B0F6D"/>
    <w:rsid w:val="001B13E1"/>
    <w:rsid w:val="001B1E00"/>
    <w:rsid w:val="001B20FE"/>
    <w:rsid w:val="001B22E5"/>
    <w:rsid w:val="001B2AE0"/>
    <w:rsid w:val="001B2D6D"/>
    <w:rsid w:val="001B398E"/>
    <w:rsid w:val="001B3C7D"/>
    <w:rsid w:val="001B3F56"/>
    <w:rsid w:val="001B403C"/>
    <w:rsid w:val="001B4171"/>
    <w:rsid w:val="001B462E"/>
    <w:rsid w:val="001B4735"/>
    <w:rsid w:val="001B4A93"/>
    <w:rsid w:val="001B4D6F"/>
    <w:rsid w:val="001B510D"/>
    <w:rsid w:val="001B51BA"/>
    <w:rsid w:val="001B5F3E"/>
    <w:rsid w:val="001B64B4"/>
    <w:rsid w:val="001B6980"/>
    <w:rsid w:val="001B6D8D"/>
    <w:rsid w:val="001B6F81"/>
    <w:rsid w:val="001B72F5"/>
    <w:rsid w:val="001B75B0"/>
    <w:rsid w:val="001B779A"/>
    <w:rsid w:val="001B7871"/>
    <w:rsid w:val="001B7A03"/>
    <w:rsid w:val="001B7A14"/>
    <w:rsid w:val="001B7BB7"/>
    <w:rsid w:val="001B7CD2"/>
    <w:rsid w:val="001B7EE7"/>
    <w:rsid w:val="001C03C4"/>
    <w:rsid w:val="001C040C"/>
    <w:rsid w:val="001C0600"/>
    <w:rsid w:val="001C0CDB"/>
    <w:rsid w:val="001C0EAD"/>
    <w:rsid w:val="001C22D4"/>
    <w:rsid w:val="001C3D05"/>
    <w:rsid w:val="001C3E4D"/>
    <w:rsid w:val="001C3F0A"/>
    <w:rsid w:val="001C407F"/>
    <w:rsid w:val="001C41C4"/>
    <w:rsid w:val="001C41E9"/>
    <w:rsid w:val="001C4C22"/>
    <w:rsid w:val="001C4CB8"/>
    <w:rsid w:val="001C5125"/>
    <w:rsid w:val="001C51E2"/>
    <w:rsid w:val="001C5E29"/>
    <w:rsid w:val="001C6DB4"/>
    <w:rsid w:val="001C6F52"/>
    <w:rsid w:val="001C7ED7"/>
    <w:rsid w:val="001D01C9"/>
    <w:rsid w:val="001D0484"/>
    <w:rsid w:val="001D0544"/>
    <w:rsid w:val="001D06C4"/>
    <w:rsid w:val="001D0E45"/>
    <w:rsid w:val="001D0ED7"/>
    <w:rsid w:val="001D127A"/>
    <w:rsid w:val="001D1825"/>
    <w:rsid w:val="001D19C9"/>
    <w:rsid w:val="001D3C05"/>
    <w:rsid w:val="001D3D73"/>
    <w:rsid w:val="001D3E71"/>
    <w:rsid w:val="001D4224"/>
    <w:rsid w:val="001D4372"/>
    <w:rsid w:val="001D4619"/>
    <w:rsid w:val="001D4715"/>
    <w:rsid w:val="001D490A"/>
    <w:rsid w:val="001D4A52"/>
    <w:rsid w:val="001D4EBD"/>
    <w:rsid w:val="001D592E"/>
    <w:rsid w:val="001D5954"/>
    <w:rsid w:val="001D5D7F"/>
    <w:rsid w:val="001D5D89"/>
    <w:rsid w:val="001D5FE2"/>
    <w:rsid w:val="001D60CA"/>
    <w:rsid w:val="001D7238"/>
    <w:rsid w:val="001D740F"/>
    <w:rsid w:val="001D7885"/>
    <w:rsid w:val="001E013B"/>
    <w:rsid w:val="001E0149"/>
    <w:rsid w:val="001E020D"/>
    <w:rsid w:val="001E0614"/>
    <w:rsid w:val="001E0849"/>
    <w:rsid w:val="001E08DE"/>
    <w:rsid w:val="001E0B32"/>
    <w:rsid w:val="001E0F23"/>
    <w:rsid w:val="001E0F6D"/>
    <w:rsid w:val="001E1089"/>
    <w:rsid w:val="001E117F"/>
    <w:rsid w:val="001E1203"/>
    <w:rsid w:val="001E1616"/>
    <w:rsid w:val="001E17BC"/>
    <w:rsid w:val="001E2C26"/>
    <w:rsid w:val="001E2DF8"/>
    <w:rsid w:val="001E3419"/>
    <w:rsid w:val="001E42D0"/>
    <w:rsid w:val="001E434A"/>
    <w:rsid w:val="001E4AE3"/>
    <w:rsid w:val="001E4BB1"/>
    <w:rsid w:val="001E4C09"/>
    <w:rsid w:val="001E4D9E"/>
    <w:rsid w:val="001E4EBD"/>
    <w:rsid w:val="001E5281"/>
    <w:rsid w:val="001E538F"/>
    <w:rsid w:val="001E5970"/>
    <w:rsid w:val="001E5EC2"/>
    <w:rsid w:val="001E602F"/>
    <w:rsid w:val="001E68B8"/>
    <w:rsid w:val="001E6B2D"/>
    <w:rsid w:val="001E6CC0"/>
    <w:rsid w:val="001E6E6B"/>
    <w:rsid w:val="001E7932"/>
    <w:rsid w:val="001F0E08"/>
    <w:rsid w:val="001F1303"/>
    <w:rsid w:val="001F1721"/>
    <w:rsid w:val="001F1AFC"/>
    <w:rsid w:val="001F1B90"/>
    <w:rsid w:val="001F2D97"/>
    <w:rsid w:val="001F2EDF"/>
    <w:rsid w:val="001F2FF8"/>
    <w:rsid w:val="001F374E"/>
    <w:rsid w:val="001F3A4D"/>
    <w:rsid w:val="001F3DDE"/>
    <w:rsid w:val="001F3DEB"/>
    <w:rsid w:val="001F4A9F"/>
    <w:rsid w:val="001F4C7C"/>
    <w:rsid w:val="001F4F5B"/>
    <w:rsid w:val="001F5035"/>
    <w:rsid w:val="001F555E"/>
    <w:rsid w:val="001F556B"/>
    <w:rsid w:val="001F5D1A"/>
    <w:rsid w:val="001F60FA"/>
    <w:rsid w:val="001F6D5B"/>
    <w:rsid w:val="001F7290"/>
    <w:rsid w:val="001F7BF7"/>
    <w:rsid w:val="002003E5"/>
    <w:rsid w:val="00200E2A"/>
    <w:rsid w:val="0020167C"/>
    <w:rsid w:val="002017A7"/>
    <w:rsid w:val="00201D7C"/>
    <w:rsid w:val="00201DFD"/>
    <w:rsid w:val="00202DF9"/>
    <w:rsid w:val="002034AC"/>
    <w:rsid w:val="00203D02"/>
    <w:rsid w:val="002040C6"/>
    <w:rsid w:val="002043DC"/>
    <w:rsid w:val="00204C4A"/>
    <w:rsid w:val="00205571"/>
    <w:rsid w:val="00205741"/>
    <w:rsid w:val="002057A6"/>
    <w:rsid w:val="00205840"/>
    <w:rsid w:val="0020584C"/>
    <w:rsid w:val="0020597D"/>
    <w:rsid w:val="002062A2"/>
    <w:rsid w:val="00206BC5"/>
    <w:rsid w:val="00207476"/>
    <w:rsid w:val="002076B9"/>
    <w:rsid w:val="00207753"/>
    <w:rsid w:val="00207ADE"/>
    <w:rsid w:val="002103A6"/>
    <w:rsid w:val="00210F5A"/>
    <w:rsid w:val="002110DF"/>
    <w:rsid w:val="00211242"/>
    <w:rsid w:val="002114DA"/>
    <w:rsid w:val="0021183D"/>
    <w:rsid w:val="002126D7"/>
    <w:rsid w:val="002127D7"/>
    <w:rsid w:val="002131A0"/>
    <w:rsid w:val="0021337F"/>
    <w:rsid w:val="00213697"/>
    <w:rsid w:val="0021402D"/>
    <w:rsid w:val="002146E8"/>
    <w:rsid w:val="002151DA"/>
    <w:rsid w:val="002155B3"/>
    <w:rsid w:val="00215A10"/>
    <w:rsid w:val="0021630C"/>
    <w:rsid w:val="002163F2"/>
    <w:rsid w:val="00216D65"/>
    <w:rsid w:val="00217380"/>
    <w:rsid w:val="00217933"/>
    <w:rsid w:val="00217B16"/>
    <w:rsid w:val="00217E03"/>
    <w:rsid w:val="00220732"/>
    <w:rsid w:val="00221237"/>
    <w:rsid w:val="00221F48"/>
    <w:rsid w:val="0022223C"/>
    <w:rsid w:val="00222835"/>
    <w:rsid w:val="002228C3"/>
    <w:rsid w:val="0022296F"/>
    <w:rsid w:val="002230A4"/>
    <w:rsid w:val="00223A96"/>
    <w:rsid w:val="00223D04"/>
    <w:rsid w:val="00223DA3"/>
    <w:rsid w:val="00224745"/>
    <w:rsid w:val="002247D3"/>
    <w:rsid w:val="00224DD2"/>
    <w:rsid w:val="00225519"/>
    <w:rsid w:val="00225690"/>
    <w:rsid w:val="00225BFC"/>
    <w:rsid w:val="002261DD"/>
    <w:rsid w:val="002264DA"/>
    <w:rsid w:val="002264E1"/>
    <w:rsid w:val="00226B24"/>
    <w:rsid w:val="00226CB7"/>
    <w:rsid w:val="00227930"/>
    <w:rsid w:val="00227B55"/>
    <w:rsid w:val="00227D64"/>
    <w:rsid w:val="00230C10"/>
    <w:rsid w:val="00230D8E"/>
    <w:rsid w:val="00231AF1"/>
    <w:rsid w:val="00232036"/>
    <w:rsid w:val="00232100"/>
    <w:rsid w:val="0023221E"/>
    <w:rsid w:val="002322D4"/>
    <w:rsid w:val="0023251E"/>
    <w:rsid w:val="00232A90"/>
    <w:rsid w:val="00232ADD"/>
    <w:rsid w:val="002332D6"/>
    <w:rsid w:val="00233D10"/>
    <w:rsid w:val="00234571"/>
    <w:rsid w:val="002347B5"/>
    <w:rsid w:val="00234E97"/>
    <w:rsid w:val="00235DEE"/>
    <w:rsid w:val="00235F78"/>
    <w:rsid w:val="00235F7A"/>
    <w:rsid w:val="0023647C"/>
    <w:rsid w:val="00236605"/>
    <w:rsid w:val="002367B1"/>
    <w:rsid w:val="002369BE"/>
    <w:rsid w:val="00237951"/>
    <w:rsid w:val="00237BA5"/>
    <w:rsid w:val="00237BEC"/>
    <w:rsid w:val="00237C53"/>
    <w:rsid w:val="00237C59"/>
    <w:rsid w:val="002403FB"/>
    <w:rsid w:val="00240DB2"/>
    <w:rsid w:val="00240ED2"/>
    <w:rsid w:val="00241000"/>
    <w:rsid w:val="002412FF"/>
    <w:rsid w:val="0024147A"/>
    <w:rsid w:val="002416AB"/>
    <w:rsid w:val="002418DE"/>
    <w:rsid w:val="00241A4C"/>
    <w:rsid w:val="00241C29"/>
    <w:rsid w:val="002420FD"/>
    <w:rsid w:val="00242343"/>
    <w:rsid w:val="002428A1"/>
    <w:rsid w:val="00242F3E"/>
    <w:rsid w:val="00243BD4"/>
    <w:rsid w:val="00244CB5"/>
    <w:rsid w:val="00244CBD"/>
    <w:rsid w:val="00245628"/>
    <w:rsid w:val="00245F1F"/>
    <w:rsid w:val="002476AD"/>
    <w:rsid w:val="0024780E"/>
    <w:rsid w:val="002511AF"/>
    <w:rsid w:val="0025123A"/>
    <w:rsid w:val="00251380"/>
    <w:rsid w:val="0025238E"/>
    <w:rsid w:val="002523B4"/>
    <w:rsid w:val="00252803"/>
    <w:rsid w:val="00252E90"/>
    <w:rsid w:val="00253A93"/>
    <w:rsid w:val="00253ABE"/>
    <w:rsid w:val="00253B9B"/>
    <w:rsid w:val="0025403E"/>
    <w:rsid w:val="002547FD"/>
    <w:rsid w:val="00254A78"/>
    <w:rsid w:val="00254AA3"/>
    <w:rsid w:val="00254F95"/>
    <w:rsid w:val="002552CD"/>
    <w:rsid w:val="0025582B"/>
    <w:rsid w:val="00255A1E"/>
    <w:rsid w:val="00255D59"/>
    <w:rsid w:val="00255D7E"/>
    <w:rsid w:val="0025609D"/>
    <w:rsid w:val="0025636B"/>
    <w:rsid w:val="002567D3"/>
    <w:rsid w:val="002570DF"/>
    <w:rsid w:val="00257B12"/>
    <w:rsid w:val="00257BD0"/>
    <w:rsid w:val="00260AFD"/>
    <w:rsid w:val="00261207"/>
    <w:rsid w:val="00261901"/>
    <w:rsid w:val="00261906"/>
    <w:rsid w:val="00261DF5"/>
    <w:rsid w:val="00262226"/>
    <w:rsid w:val="00262616"/>
    <w:rsid w:val="00262851"/>
    <w:rsid w:val="00262DAD"/>
    <w:rsid w:val="002639A4"/>
    <w:rsid w:val="00263FA1"/>
    <w:rsid w:val="0026426C"/>
    <w:rsid w:val="0026473A"/>
    <w:rsid w:val="002647E6"/>
    <w:rsid w:val="002649BE"/>
    <w:rsid w:val="002652B4"/>
    <w:rsid w:val="002655BA"/>
    <w:rsid w:val="00265804"/>
    <w:rsid w:val="00265C3E"/>
    <w:rsid w:val="00265DDE"/>
    <w:rsid w:val="00265F82"/>
    <w:rsid w:val="002661BB"/>
    <w:rsid w:val="00266537"/>
    <w:rsid w:val="00266976"/>
    <w:rsid w:val="00266AE7"/>
    <w:rsid w:val="00266C32"/>
    <w:rsid w:val="00267A83"/>
    <w:rsid w:val="00267E42"/>
    <w:rsid w:val="002702BA"/>
    <w:rsid w:val="0027034C"/>
    <w:rsid w:val="00271B2A"/>
    <w:rsid w:val="00271F12"/>
    <w:rsid w:val="00272020"/>
    <w:rsid w:val="0027203C"/>
    <w:rsid w:val="002724E8"/>
    <w:rsid w:val="0027257B"/>
    <w:rsid w:val="00273214"/>
    <w:rsid w:val="00273BB6"/>
    <w:rsid w:val="00273C7B"/>
    <w:rsid w:val="00273CD3"/>
    <w:rsid w:val="00273CE4"/>
    <w:rsid w:val="00274453"/>
    <w:rsid w:val="00274DCF"/>
    <w:rsid w:val="00274E09"/>
    <w:rsid w:val="00274EC1"/>
    <w:rsid w:val="00274F5D"/>
    <w:rsid w:val="002752B3"/>
    <w:rsid w:val="00275548"/>
    <w:rsid w:val="0027573F"/>
    <w:rsid w:val="00275A4B"/>
    <w:rsid w:val="00275C20"/>
    <w:rsid w:val="00275D0C"/>
    <w:rsid w:val="00275EB3"/>
    <w:rsid w:val="0027610E"/>
    <w:rsid w:val="00276824"/>
    <w:rsid w:val="00276F64"/>
    <w:rsid w:val="00276FAD"/>
    <w:rsid w:val="00277064"/>
    <w:rsid w:val="00277217"/>
    <w:rsid w:val="00277456"/>
    <w:rsid w:val="00277486"/>
    <w:rsid w:val="00277626"/>
    <w:rsid w:val="00277EDF"/>
    <w:rsid w:val="00280010"/>
    <w:rsid w:val="0028025E"/>
    <w:rsid w:val="00280FA6"/>
    <w:rsid w:val="00281185"/>
    <w:rsid w:val="00281B48"/>
    <w:rsid w:val="00282523"/>
    <w:rsid w:val="00282CC5"/>
    <w:rsid w:val="00282E84"/>
    <w:rsid w:val="00283137"/>
    <w:rsid w:val="002837FF"/>
    <w:rsid w:val="00283FCF"/>
    <w:rsid w:val="0028426E"/>
    <w:rsid w:val="002842C8"/>
    <w:rsid w:val="002842F8"/>
    <w:rsid w:val="00284860"/>
    <w:rsid w:val="002852C6"/>
    <w:rsid w:val="002853AE"/>
    <w:rsid w:val="0028557E"/>
    <w:rsid w:val="0028593A"/>
    <w:rsid w:val="002859F8"/>
    <w:rsid w:val="00285CEA"/>
    <w:rsid w:val="00285D04"/>
    <w:rsid w:val="00286A64"/>
    <w:rsid w:val="00286B97"/>
    <w:rsid w:val="00286E5E"/>
    <w:rsid w:val="00287999"/>
    <w:rsid w:val="00287EF6"/>
    <w:rsid w:val="00290124"/>
    <w:rsid w:val="0029022B"/>
    <w:rsid w:val="00290297"/>
    <w:rsid w:val="00290707"/>
    <w:rsid w:val="0029097E"/>
    <w:rsid w:val="00291220"/>
    <w:rsid w:val="00291500"/>
    <w:rsid w:val="00291654"/>
    <w:rsid w:val="00291B70"/>
    <w:rsid w:val="00291FCD"/>
    <w:rsid w:val="0029217D"/>
    <w:rsid w:val="0029233C"/>
    <w:rsid w:val="00292B4A"/>
    <w:rsid w:val="00293067"/>
    <w:rsid w:val="0029311D"/>
    <w:rsid w:val="0029318C"/>
    <w:rsid w:val="0029362A"/>
    <w:rsid w:val="00293D60"/>
    <w:rsid w:val="002947F1"/>
    <w:rsid w:val="00294972"/>
    <w:rsid w:val="00294D09"/>
    <w:rsid w:val="002960DF"/>
    <w:rsid w:val="002964E0"/>
    <w:rsid w:val="0029769C"/>
    <w:rsid w:val="002A04B5"/>
    <w:rsid w:val="002A0B6A"/>
    <w:rsid w:val="002A0DD0"/>
    <w:rsid w:val="002A1D18"/>
    <w:rsid w:val="002A1FD2"/>
    <w:rsid w:val="002A24F8"/>
    <w:rsid w:val="002A272A"/>
    <w:rsid w:val="002A2B21"/>
    <w:rsid w:val="002A2E25"/>
    <w:rsid w:val="002A34A5"/>
    <w:rsid w:val="002A3527"/>
    <w:rsid w:val="002A38E3"/>
    <w:rsid w:val="002A3BDC"/>
    <w:rsid w:val="002A4707"/>
    <w:rsid w:val="002A470A"/>
    <w:rsid w:val="002A4B99"/>
    <w:rsid w:val="002A54FE"/>
    <w:rsid w:val="002A55DB"/>
    <w:rsid w:val="002A56B7"/>
    <w:rsid w:val="002A58EF"/>
    <w:rsid w:val="002A5A44"/>
    <w:rsid w:val="002A5ED3"/>
    <w:rsid w:val="002A65E8"/>
    <w:rsid w:val="002A6BFE"/>
    <w:rsid w:val="002A6D49"/>
    <w:rsid w:val="002A6E8E"/>
    <w:rsid w:val="002A74D9"/>
    <w:rsid w:val="002A7683"/>
    <w:rsid w:val="002A7B81"/>
    <w:rsid w:val="002B0686"/>
    <w:rsid w:val="002B0D1A"/>
    <w:rsid w:val="002B1369"/>
    <w:rsid w:val="002B1414"/>
    <w:rsid w:val="002B1526"/>
    <w:rsid w:val="002B1686"/>
    <w:rsid w:val="002B19B8"/>
    <w:rsid w:val="002B1AFD"/>
    <w:rsid w:val="002B26D4"/>
    <w:rsid w:val="002B2BF7"/>
    <w:rsid w:val="002B307C"/>
    <w:rsid w:val="002B3167"/>
    <w:rsid w:val="002B36F6"/>
    <w:rsid w:val="002B4CFC"/>
    <w:rsid w:val="002B4F49"/>
    <w:rsid w:val="002B5AE7"/>
    <w:rsid w:val="002B5B02"/>
    <w:rsid w:val="002B5F80"/>
    <w:rsid w:val="002B6313"/>
    <w:rsid w:val="002B6DBD"/>
    <w:rsid w:val="002B6DE3"/>
    <w:rsid w:val="002B720E"/>
    <w:rsid w:val="002B7739"/>
    <w:rsid w:val="002C0720"/>
    <w:rsid w:val="002C1B43"/>
    <w:rsid w:val="002C2134"/>
    <w:rsid w:val="002C279F"/>
    <w:rsid w:val="002C2DDC"/>
    <w:rsid w:val="002C3478"/>
    <w:rsid w:val="002C39FA"/>
    <w:rsid w:val="002C3D9A"/>
    <w:rsid w:val="002C3E30"/>
    <w:rsid w:val="002C3F95"/>
    <w:rsid w:val="002C42DB"/>
    <w:rsid w:val="002C43D0"/>
    <w:rsid w:val="002C471D"/>
    <w:rsid w:val="002C47CC"/>
    <w:rsid w:val="002C49C6"/>
    <w:rsid w:val="002C4DCE"/>
    <w:rsid w:val="002C50BE"/>
    <w:rsid w:val="002C55B5"/>
    <w:rsid w:val="002C5A7A"/>
    <w:rsid w:val="002C60C7"/>
    <w:rsid w:val="002C6372"/>
    <w:rsid w:val="002C661C"/>
    <w:rsid w:val="002C68AC"/>
    <w:rsid w:val="002C6B12"/>
    <w:rsid w:val="002C77D7"/>
    <w:rsid w:val="002C7E1C"/>
    <w:rsid w:val="002D02A5"/>
    <w:rsid w:val="002D0DFA"/>
    <w:rsid w:val="002D1010"/>
    <w:rsid w:val="002D112B"/>
    <w:rsid w:val="002D1456"/>
    <w:rsid w:val="002D16A9"/>
    <w:rsid w:val="002D1F6C"/>
    <w:rsid w:val="002D2003"/>
    <w:rsid w:val="002D2281"/>
    <w:rsid w:val="002D30E3"/>
    <w:rsid w:val="002D32D3"/>
    <w:rsid w:val="002D34B5"/>
    <w:rsid w:val="002D4334"/>
    <w:rsid w:val="002D4E73"/>
    <w:rsid w:val="002D53EB"/>
    <w:rsid w:val="002D55A1"/>
    <w:rsid w:val="002D5FF2"/>
    <w:rsid w:val="002D6442"/>
    <w:rsid w:val="002D6B7E"/>
    <w:rsid w:val="002D6CA7"/>
    <w:rsid w:val="002D6EC1"/>
    <w:rsid w:val="002D7363"/>
    <w:rsid w:val="002D7684"/>
    <w:rsid w:val="002D7B01"/>
    <w:rsid w:val="002D7B02"/>
    <w:rsid w:val="002D7DAE"/>
    <w:rsid w:val="002E02D3"/>
    <w:rsid w:val="002E071B"/>
    <w:rsid w:val="002E07A6"/>
    <w:rsid w:val="002E09F4"/>
    <w:rsid w:val="002E0A79"/>
    <w:rsid w:val="002E0EFC"/>
    <w:rsid w:val="002E11BA"/>
    <w:rsid w:val="002E19A5"/>
    <w:rsid w:val="002E1CA8"/>
    <w:rsid w:val="002E1FFE"/>
    <w:rsid w:val="002E2052"/>
    <w:rsid w:val="002E211B"/>
    <w:rsid w:val="002E274C"/>
    <w:rsid w:val="002E2A79"/>
    <w:rsid w:val="002E2B3E"/>
    <w:rsid w:val="002E2C05"/>
    <w:rsid w:val="002E35D6"/>
    <w:rsid w:val="002E393A"/>
    <w:rsid w:val="002E3A60"/>
    <w:rsid w:val="002E49F5"/>
    <w:rsid w:val="002E4B87"/>
    <w:rsid w:val="002E4C68"/>
    <w:rsid w:val="002E5239"/>
    <w:rsid w:val="002E56E6"/>
    <w:rsid w:val="002E58D1"/>
    <w:rsid w:val="002E5C86"/>
    <w:rsid w:val="002E606A"/>
    <w:rsid w:val="002E6663"/>
    <w:rsid w:val="002E6848"/>
    <w:rsid w:val="002E7241"/>
    <w:rsid w:val="002E7EC9"/>
    <w:rsid w:val="002F01F1"/>
    <w:rsid w:val="002F0678"/>
    <w:rsid w:val="002F0935"/>
    <w:rsid w:val="002F0C62"/>
    <w:rsid w:val="002F10D7"/>
    <w:rsid w:val="002F1CA5"/>
    <w:rsid w:val="002F1DFD"/>
    <w:rsid w:val="002F251C"/>
    <w:rsid w:val="002F27E3"/>
    <w:rsid w:val="002F2B0C"/>
    <w:rsid w:val="002F2D0D"/>
    <w:rsid w:val="002F3716"/>
    <w:rsid w:val="002F3E8F"/>
    <w:rsid w:val="002F43FD"/>
    <w:rsid w:val="002F46BC"/>
    <w:rsid w:val="002F487F"/>
    <w:rsid w:val="002F4906"/>
    <w:rsid w:val="002F4961"/>
    <w:rsid w:val="002F4A9A"/>
    <w:rsid w:val="002F4D1F"/>
    <w:rsid w:val="002F5135"/>
    <w:rsid w:val="002F5396"/>
    <w:rsid w:val="002F58D6"/>
    <w:rsid w:val="002F5B31"/>
    <w:rsid w:val="002F5B7F"/>
    <w:rsid w:val="002F6000"/>
    <w:rsid w:val="002F60FC"/>
    <w:rsid w:val="002F61DA"/>
    <w:rsid w:val="002F6BB2"/>
    <w:rsid w:val="002F6E74"/>
    <w:rsid w:val="002F722B"/>
    <w:rsid w:val="002F7418"/>
    <w:rsid w:val="00300230"/>
    <w:rsid w:val="003003A7"/>
    <w:rsid w:val="0030075B"/>
    <w:rsid w:val="00300B2D"/>
    <w:rsid w:val="00300C44"/>
    <w:rsid w:val="00300D1C"/>
    <w:rsid w:val="003014DD"/>
    <w:rsid w:val="0030179D"/>
    <w:rsid w:val="00301F8B"/>
    <w:rsid w:val="003022C1"/>
    <w:rsid w:val="00302A1D"/>
    <w:rsid w:val="00302DCB"/>
    <w:rsid w:val="00303846"/>
    <w:rsid w:val="003041CB"/>
    <w:rsid w:val="003041D6"/>
    <w:rsid w:val="0030493C"/>
    <w:rsid w:val="0030495C"/>
    <w:rsid w:val="00304C52"/>
    <w:rsid w:val="00304F98"/>
    <w:rsid w:val="003051A9"/>
    <w:rsid w:val="00305BE6"/>
    <w:rsid w:val="00305FD7"/>
    <w:rsid w:val="00306093"/>
    <w:rsid w:val="003069D6"/>
    <w:rsid w:val="00307C93"/>
    <w:rsid w:val="003103BA"/>
    <w:rsid w:val="00310449"/>
    <w:rsid w:val="003104B9"/>
    <w:rsid w:val="00310928"/>
    <w:rsid w:val="00311075"/>
    <w:rsid w:val="00311CB8"/>
    <w:rsid w:val="00311DCE"/>
    <w:rsid w:val="003122A2"/>
    <w:rsid w:val="00312345"/>
    <w:rsid w:val="003124AC"/>
    <w:rsid w:val="00312B56"/>
    <w:rsid w:val="003134DD"/>
    <w:rsid w:val="00314EA9"/>
    <w:rsid w:val="0031558C"/>
    <w:rsid w:val="00315755"/>
    <w:rsid w:val="00315D8E"/>
    <w:rsid w:val="00315DCF"/>
    <w:rsid w:val="003169C4"/>
    <w:rsid w:val="00316B20"/>
    <w:rsid w:val="00317248"/>
    <w:rsid w:val="003175FA"/>
    <w:rsid w:val="00317960"/>
    <w:rsid w:val="00320008"/>
    <w:rsid w:val="00320145"/>
    <w:rsid w:val="00320683"/>
    <w:rsid w:val="00320A09"/>
    <w:rsid w:val="00320B50"/>
    <w:rsid w:val="00320F34"/>
    <w:rsid w:val="0032108A"/>
    <w:rsid w:val="0032148C"/>
    <w:rsid w:val="003214E7"/>
    <w:rsid w:val="00321B99"/>
    <w:rsid w:val="00321FA5"/>
    <w:rsid w:val="003223F8"/>
    <w:rsid w:val="00322490"/>
    <w:rsid w:val="00322A9E"/>
    <w:rsid w:val="00322E6B"/>
    <w:rsid w:val="00323C65"/>
    <w:rsid w:val="0032471B"/>
    <w:rsid w:val="00324EA4"/>
    <w:rsid w:val="0032616A"/>
    <w:rsid w:val="003269FF"/>
    <w:rsid w:val="0032741D"/>
    <w:rsid w:val="0032779F"/>
    <w:rsid w:val="00327A1D"/>
    <w:rsid w:val="00327A74"/>
    <w:rsid w:val="00327AC0"/>
    <w:rsid w:val="0033026F"/>
    <w:rsid w:val="0033038E"/>
    <w:rsid w:val="00330A97"/>
    <w:rsid w:val="003314BC"/>
    <w:rsid w:val="00331CB7"/>
    <w:rsid w:val="00331E70"/>
    <w:rsid w:val="00332910"/>
    <w:rsid w:val="00332EE0"/>
    <w:rsid w:val="0033308D"/>
    <w:rsid w:val="003332F1"/>
    <w:rsid w:val="0033413E"/>
    <w:rsid w:val="00334218"/>
    <w:rsid w:val="003342BA"/>
    <w:rsid w:val="003348AC"/>
    <w:rsid w:val="003349BE"/>
    <w:rsid w:val="00334A34"/>
    <w:rsid w:val="00334C00"/>
    <w:rsid w:val="00334C49"/>
    <w:rsid w:val="00334CB4"/>
    <w:rsid w:val="00335007"/>
    <w:rsid w:val="0033518A"/>
    <w:rsid w:val="003356B7"/>
    <w:rsid w:val="0033588A"/>
    <w:rsid w:val="00336079"/>
    <w:rsid w:val="00336529"/>
    <w:rsid w:val="0033707D"/>
    <w:rsid w:val="00337AA3"/>
    <w:rsid w:val="0034084B"/>
    <w:rsid w:val="003411B2"/>
    <w:rsid w:val="00341394"/>
    <w:rsid w:val="003419DE"/>
    <w:rsid w:val="00341A9C"/>
    <w:rsid w:val="0034206D"/>
    <w:rsid w:val="00342824"/>
    <w:rsid w:val="00342D57"/>
    <w:rsid w:val="0034367C"/>
    <w:rsid w:val="00343702"/>
    <w:rsid w:val="00343A5F"/>
    <w:rsid w:val="00343B49"/>
    <w:rsid w:val="003445D1"/>
    <w:rsid w:val="0034465E"/>
    <w:rsid w:val="00344A66"/>
    <w:rsid w:val="00344E3F"/>
    <w:rsid w:val="00344F3B"/>
    <w:rsid w:val="003450F1"/>
    <w:rsid w:val="003451B2"/>
    <w:rsid w:val="00346068"/>
    <w:rsid w:val="00346589"/>
    <w:rsid w:val="00347898"/>
    <w:rsid w:val="00347D75"/>
    <w:rsid w:val="0035030A"/>
    <w:rsid w:val="00350351"/>
    <w:rsid w:val="003506F0"/>
    <w:rsid w:val="003507D5"/>
    <w:rsid w:val="00350BBC"/>
    <w:rsid w:val="00350C07"/>
    <w:rsid w:val="00351055"/>
    <w:rsid w:val="00351E01"/>
    <w:rsid w:val="00351FCE"/>
    <w:rsid w:val="003520F7"/>
    <w:rsid w:val="00352111"/>
    <w:rsid w:val="00352268"/>
    <w:rsid w:val="00352879"/>
    <w:rsid w:val="00352AAB"/>
    <w:rsid w:val="00352F92"/>
    <w:rsid w:val="003540CC"/>
    <w:rsid w:val="003547A8"/>
    <w:rsid w:val="00355277"/>
    <w:rsid w:val="003552BA"/>
    <w:rsid w:val="00355460"/>
    <w:rsid w:val="00356128"/>
    <w:rsid w:val="00356C7B"/>
    <w:rsid w:val="00356E0D"/>
    <w:rsid w:val="00356F4E"/>
    <w:rsid w:val="00357081"/>
    <w:rsid w:val="00357C89"/>
    <w:rsid w:val="0036054A"/>
    <w:rsid w:val="00360752"/>
    <w:rsid w:val="00360B4B"/>
    <w:rsid w:val="00360E12"/>
    <w:rsid w:val="00361448"/>
    <w:rsid w:val="00361480"/>
    <w:rsid w:val="00361CD6"/>
    <w:rsid w:val="0036261B"/>
    <w:rsid w:val="003626D0"/>
    <w:rsid w:val="00362916"/>
    <w:rsid w:val="00362A49"/>
    <w:rsid w:val="00362C35"/>
    <w:rsid w:val="00362C7D"/>
    <w:rsid w:val="00362EAA"/>
    <w:rsid w:val="003636B1"/>
    <w:rsid w:val="003638EA"/>
    <w:rsid w:val="003639DB"/>
    <w:rsid w:val="00363ECD"/>
    <w:rsid w:val="0036438B"/>
    <w:rsid w:val="00364692"/>
    <w:rsid w:val="003652EE"/>
    <w:rsid w:val="00365487"/>
    <w:rsid w:val="00365799"/>
    <w:rsid w:val="00365B67"/>
    <w:rsid w:val="00366688"/>
    <w:rsid w:val="003666F7"/>
    <w:rsid w:val="003667D9"/>
    <w:rsid w:val="00366980"/>
    <w:rsid w:val="00367B1A"/>
    <w:rsid w:val="00367BCB"/>
    <w:rsid w:val="0037063F"/>
    <w:rsid w:val="00370648"/>
    <w:rsid w:val="003708A5"/>
    <w:rsid w:val="00370C6E"/>
    <w:rsid w:val="00371888"/>
    <w:rsid w:val="00371B70"/>
    <w:rsid w:val="00371D3E"/>
    <w:rsid w:val="003720BE"/>
    <w:rsid w:val="00372576"/>
    <w:rsid w:val="0037260C"/>
    <w:rsid w:val="003726D6"/>
    <w:rsid w:val="00372928"/>
    <w:rsid w:val="00372C90"/>
    <w:rsid w:val="003730A0"/>
    <w:rsid w:val="0037314E"/>
    <w:rsid w:val="00374165"/>
    <w:rsid w:val="00374632"/>
    <w:rsid w:val="003748DA"/>
    <w:rsid w:val="0037494D"/>
    <w:rsid w:val="00374EA8"/>
    <w:rsid w:val="00375B9E"/>
    <w:rsid w:val="00375C17"/>
    <w:rsid w:val="00375E6B"/>
    <w:rsid w:val="003767C7"/>
    <w:rsid w:val="00377052"/>
    <w:rsid w:val="003774D2"/>
    <w:rsid w:val="003776F0"/>
    <w:rsid w:val="003777B7"/>
    <w:rsid w:val="00377A75"/>
    <w:rsid w:val="00377BCF"/>
    <w:rsid w:val="00377CC6"/>
    <w:rsid w:val="00377D93"/>
    <w:rsid w:val="0038005A"/>
    <w:rsid w:val="00380081"/>
    <w:rsid w:val="00380AA8"/>
    <w:rsid w:val="003814C2"/>
    <w:rsid w:val="0038209D"/>
    <w:rsid w:val="003821DE"/>
    <w:rsid w:val="00382203"/>
    <w:rsid w:val="0038333E"/>
    <w:rsid w:val="00383720"/>
    <w:rsid w:val="00384121"/>
    <w:rsid w:val="00384D88"/>
    <w:rsid w:val="0038555C"/>
    <w:rsid w:val="003859D4"/>
    <w:rsid w:val="003862BB"/>
    <w:rsid w:val="00386365"/>
    <w:rsid w:val="00386684"/>
    <w:rsid w:val="00386910"/>
    <w:rsid w:val="00386A0F"/>
    <w:rsid w:val="0038702E"/>
    <w:rsid w:val="003872CF"/>
    <w:rsid w:val="00387347"/>
    <w:rsid w:val="0038759C"/>
    <w:rsid w:val="00390050"/>
    <w:rsid w:val="003902D2"/>
    <w:rsid w:val="00390703"/>
    <w:rsid w:val="003912D6"/>
    <w:rsid w:val="0039191C"/>
    <w:rsid w:val="00391AF7"/>
    <w:rsid w:val="00391D04"/>
    <w:rsid w:val="00391D60"/>
    <w:rsid w:val="00392244"/>
    <w:rsid w:val="00392F36"/>
    <w:rsid w:val="0039307E"/>
    <w:rsid w:val="00394AD2"/>
    <w:rsid w:val="0039551E"/>
    <w:rsid w:val="0039562B"/>
    <w:rsid w:val="00395B04"/>
    <w:rsid w:val="00395BD7"/>
    <w:rsid w:val="00395DF3"/>
    <w:rsid w:val="0039638F"/>
    <w:rsid w:val="00396F2B"/>
    <w:rsid w:val="00397786"/>
    <w:rsid w:val="00397A8F"/>
    <w:rsid w:val="003A0456"/>
    <w:rsid w:val="003A0689"/>
    <w:rsid w:val="003A184D"/>
    <w:rsid w:val="003A1E7E"/>
    <w:rsid w:val="003A24A1"/>
    <w:rsid w:val="003A3191"/>
    <w:rsid w:val="003A3318"/>
    <w:rsid w:val="003A3CAE"/>
    <w:rsid w:val="003A46C8"/>
    <w:rsid w:val="003A50BA"/>
    <w:rsid w:val="003A52A3"/>
    <w:rsid w:val="003A5345"/>
    <w:rsid w:val="003A5370"/>
    <w:rsid w:val="003A53E2"/>
    <w:rsid w:val="003A540E"/>
    <w:rsid w:val="003A5FE9"/>
    <w:rsid w:val="003A64B1"/>
    <w:rsid w:val="003A659D"/>
    <w:rsid w:val="003A66DC"/>
    <w:rsid w:val="003A6804"/>
    <w:rsid w:val="003A6FDA"/>
    <w:rsid w:val="003A720E"/>
    <w:rsid w:val="003A72A8"/>
    <w:rsid w:val="003A7461"/>
    <w:rsid w:val="003A75EC"/>
    <w:rsid w:val="003A774F"/>
    <w:rsid w:val="003B0854"/>
    <w:rsid w:val="003B09B8"/>
    <w:rsid w:val="003B0A35"/>
    <w:rsid w:val="003B0E82"/>
    <w:rsid w:val="003B12D2"/>
    <w:rsid w:val="003B12DB"/>
    <w:rsid w:val="003B1414"/>
    <w:rsid w:val="003B160B"/>
    <w:rsid w:val="003B175A"/>
    <w:rsid w:val="003B1875"/>
    <w:rsid w:val="003B249B"/>
    <w:rsid w:val="003B2AF8"/>
    <w:rsid w:val="003B2E6B"/>
    <w:rsid w:val="003B3FE8"/>
    <w:rsid w:val="003B411B"/>
    <w:rsid w:val="003B41F0"/>
    <w:rsid w:val="003B4380"/>
    <w:rsid w:val="003B43D8"/>
    <w:rsid w:val="003B45D1"/>
    <w:rsid w:val="003B4722"/>
    <w:rsid w:val="003B4BF8"/>
    <w:rsid w:val="003B4C49"/>
    <w:rsid w:val="003B4D6E"/>
    <w:rsid w:val="003B4FBD"/>
    <w:rsid w:val="003B58E0"/>
    <w:rsid w:val="003B659D"/>
    <w:rsid w:val="003B68D7"/>
    <w:rsid w:val="003B6BEC"/>
    <w:rsid w:val="003B6E58"/>
    <w:rsid w:val="003B6E7C"/>
    <w:rsid w:val="003B6ECD"/>
    <w:rsid w:val="003B7533"/>
    <w:rsid w:val="003B75E5"/>
    <w:rsid w:val="003B7976"/>
    <w:rsid w:val="003B797C"/>
    <w:rsid w:val="003B7F61"/>
    <w:rsid w:val="003C0942"/>
    <w:rsid w:val="003C12E0"/>
    <w:rsid w:val="003C16A6"/>
    <w:rsid w:val="003C16B5"/>
    <w:rsid w:val="003C1E78"/>
    <w:rsid w:val="003C1F38"/>
    <w:rsid w:val="003C284C"/>
    <w:rsid w:val="003C2A02"/>
    <w:rsid w:val="003C2C6A"/>
    <w:rsid w:val="003C32A8"/>
    <w:rsid w:val="003C3A8E"/>
    <w:rsid w:val="003C3B7F"/>
    <w:rsid w:val="003C3EDC"/>
    <w:rsid w:val="003C42AA"/>
    <w:rsid w:val="003C470C"/>
    <w:rsid w:val="003C484A"/>
    <w:rsid w:val="003C5242"/>
    <w:rsid w:val="003C60D6"/>
    <w:rsid w:val="003C63EB"/>
    <w:rsid w:val="003C6795"/>
    <w:rsid w:val="003C6E21"/>
    <w:rsid w:val="003C7219"/>
    <w:rsid w:val="003C72D8"/>
    <w:rsid w:val="003C7D6D"/>
    <w:rsid w:val="003D01B4"/>
    <w:rsid w:val="003D06F1"/>
    <w:rsid w:val="003D0735"/>
    <w:rsid w:val="003D0DDE"/>
    <w:rsid w:val="003D12B8"/>
    <w:rsid w:val="003D1498"/>
    <w:rsid w:val="003D15BC"/>
    <w:rsid w:val="003D1AFF"/>
    <w:rsid w:val="003D242C"/>
    <w:rsid w:val="003D2B64"/>
    <w:rsid w:val="003D32C1"/>
    <w:rsid w:val="003D3528"/>
    <w:rsid w:val="003D360A"/>
    <w:rsid w:val="003D3C00"/>
    <w:rsid w:val="003D41AD"/>
    <w:rsid w:val="003D4549"/>
    <w:rsid w:val="003D4A84"/>
    <w:rsid w:val="003D4B3A"/>
    <w:rsid w:val="003D4B6A"/>
    <w:rsid w:val="003D4EDF"/>
    <w:rsid w:val="003D515A"/>
    <w:rsid w:val="003D51A8"/>
    <w:rsid w:val="003D5506"/>
    <w:rsid w:val="003D5AA4"/>
    <w:rsid w:val="003D5B61"/>
    <w:rsid w:val="003D5EC0"/>
    <w:rsid w:val="003D619A"/>
    <w:rsid w:val="003D66D2"/>
    <w:rsid w:val="003D7606"/>
    <w:rsid w:val="003D793B"/>
    <w:rsid w:val="003E024B"/>
    <w:rsid w:val="003E0B5B"/>
    <w:rsid w:val="003E0C25"/>
    <w:rsid w:val="003E0C79"/>
    <w:rsid w:val="003E0ECD"/>
    <w:rsid w:val="003E0F2C"/>
    <w:rsid w:val="003E101A"/>
    <w:rsid w:val="003E18BA"/>
    <w:rsid w:val="003E260D"/>
    <w:rsid w:val="003E2782"/>
    <w:rsid w:val="003E2AC2"/>
    <w:rsid w:val="003E2EA7"/>
    <w:rsid w:val="003E3027"/>
    <w:rsid w:val="003E3D33"/>
    <w:rsid w:val="003E3DBC"/>
    <w:rsid w:val="003E50D7"/>
    <w:rsid w:val="003E5650"/>
    <w:rsid w:val="003E5CD9"/>
    <w:rsid w:val="003E5E58"/>
    <w:rsid w:val="003E615B"/>
    <w:rsid w:val="003E659F"/>
    <w:rsid w:val="003E669D"/>
    <w:rsid w:val="003E6C30"/>
    <w:rsid w:val="003E7ABC"/>
    <w:rsid w:val="003E7B3F"/>
    <w:rsid w:val="003F0091"/>
    <w:rsid w:val="003F009D"/>
    <w:rsid w:val="003F02EE"/>
    <w:rsid w:val="003F0CE1"/>
    <w:rsid w:val="003F0E81"/>
    <w:rsid w:val="003F0EF0"/>
    <w:rsid w:val="003F1035"/>
    <w:rsid w:val="003F1359"/>
    <w:rsid w:val="003F1E39"/>
    <w:rsid w:val="003F2060"/>
    <w:rsid w:val="003F262C"/>
    <w:rsid w:val="003F277F"/>
    <w:rsid w:val="003F2783"/>
    <w:rsid w:val="003F2DC1"/>
    <w:rsid w:val="003F3169"/>
    <w:rsid w:val="003F321F"/>
    <w:rsid w:val="003F3505"/>
    <w:rsid w:val="003F3C54"/>
    <w:rsid w:val="003F4897"/>
    <w:rsid w:val="003F5483"/>
    <w:rsid w:val="003F569F"/>
    <w:rsid w:val="003F5801"/>
    <w:rsid w:val="003F5D48"/>
    <w:rsid w:val="003F5DAA"/>
    <w:rsid w:val="003F5E01"/>
    <w:rsid w:val="003F5F7B"/>
    <w:rsid w:val="003F6518"/>
    <w:rsid w:val="003F6636"/>
    <w:rsid w:val="003F6A4A"/>
    <w:rsid w:val="003F6F48"/>
    <w:rsid w:val="003F718E"/>
    <w:rsid w:val="003F73EA"/>
    <w:rsid w:val="003F7448"/>
    <w:rsid w:val="003F756C"/>
    <w:rsid w:val="003F77A4"/>
    <w:rsid w:val="003F794E"/>
    <w:rsid w:val="003F7CD0"/>
    <w:rsid w:val="003F7D1A"/>
    <w:rsid w:val="0040007C"/>
    <w:rsid w:val="004004A9"/>
    <w:rsid w:val="0040053F"/>
    <w:rsid w:val="0040058B"/>
    <w:rsid w:val="00400600"/>
    <w:rsid w:val="004007CD"/>
    <w:rsid w:val="00400E88"/>
    <w:rsid w:val="0040119A"/>
    <w:rsid w:val="004012E6"/>
    <w:rsid w:val="004017CF"/>
    <w:rsid w:val="00401D12"/>
    <w:rsid w:val="00401D4C"/>
    <w:rsid w:val="00401D97"/>
    <w:rsid w:val="0040364D"/>
    <w:rsid w:val="004038D0"/>
    <w:rsid w:val="00403CE3"/>
    <w:rsid w:val="0040403A"/>
    <w:rsid w:val="00404609"/>
    <w:rsid w:val="004046D8"/>
    <w:rsid w:val="0040492F"/>
    <w:rsid w:val="00405181"/>
    <w:rsid w:val="00405A5F"/>
    <w:rsid w:val="00405C0A"/>
    <w:rsid w:val="00405E74"/>
    <w:rsid w:val="00407959"/>
    <w:rsid w:val="004104C3"/>
    <w:rsid w:val="00410A98"/>
    <w:rsid w:val="00410F5E"/>
    <w:rsid w:val="00411908"/>
    <w:rsid w:val="004121BD"/>
    <w:rsid w:val="0041222F"/>
    <w:rsid w:val="00412719"/>
    <w:rsid w:val="00412C98"/>
    <w:rsid w:val="00412DBB"/>
    <w:rsid w:val="0041320D"/>
    <w:rsid w:val="00413665"/>
    <w:rsid w:val="0041376B"/>
    <w:rsid w:val="004137EF"/>
    <w:rsid w:val="00413827"/>
    <w:rsid w:val="004145B6"/>
    <w:rsid w:val="00414670"/>
    <w:rsid w:val="004158F9"/>
    <w:rsid w:val="004159EA"/>
    <w:rsid w:val="00416727"/>
    <w:rsid w:val="00416C30"/>
    <w:rsid w:val="00416D3F"/>
    <w:rsid w:val="004172A4"/>
    <w:rsid w:val="00417B88"/>
    <w:rsid w:val="00417DD8"/>
    <w:rsid w:val="004208D9"/>
    <w:rsid w:val="00420CD9"/>
    <w:rsid w:val="00421518"/>
    <w:rsid w:val="00421E7C"/>
    <w:rsid w:val="00422ABD"/>
    <w:rsid w:val="00422B4E"/>
    <w:rsid w:val="00422FF6"/>
    <w:rsid w:val="004231FD"/>
    <w:rsid w:val="00423486"/>
    <w:rsid w:val="00423668"/>
    <w:rsid w:val="00423AF7"/>
    <w:rsid w:val="00424227"/>
    <w:rsid w:val="00424C53"/>
    <w:rsid w:val="00425814"/>
    <w:rsid w:val="00425BE8"/>
    <w:rsid w:val="00425C5F"/>
    <w:rsid w:val="00426286"/>
    <w:rsid w:val="00426F6A"/>
    <w:rsid w:val="00427A24"/>
    <w:rsid w:val="00427F6B"/>
    <w:rsid w:val="0043073D"/>
    <w:rsid w:val="00430D0C"/>
    <w:rsid w:val="004313D1"/>
    <w:rsid w:val="004318EB"/>
    <w:rsid w:val="00431C4A"/>
    <w:rsid w:val="00431CDB"/>
    <w:rsid w:val="00432DFF"/>
    <w:rsid w:val="004331C3"/>
    <w:rsid w:val="00433229"/>
    <w:rsid w:val="0043323A"/>
    <w:rsid w:val="0043348B"/>
    <w:rsid w:val="004335B1"/>
    <w:rsid w:val="004337CC"/>
    <w:rsid w:val="004338D4"/>
    <w:rsid w:val="00435F85"/>
    <w:rsid w:val="0043622B"/>
    <w:rsid w:val="00436BBC"/>
    <w:rsid w:val="00436E0B"/>
    <w:rsid w:val="0043714B"/>
    <w:rsid w:val="00437176"/>
    <w:rsid w:val="004374E9"/>
    <w:rsid w:val="00437F23"/>
    <w:rsid w:val="004401DF"/>
    <w:rsid w:val="00440E9B"/>
    <w:rsid w:val="004418B6"/>
    <w:rsid w:val="00441E87"/>
    <w:rsid w:val="00442624"/>
    <w:rsid w:val="004427F7"/>
    <w:rsid w:val="004428EF"/>
    <w:rsid w:val="00442A58"/>
    <w:rsid w:val="00443751"/>
    <w:rsid w:val="00443D0B"/>
    <w:rsid w:val="00443D9B"/>
    <w:rsid w:val="00444039"/>
    <w:rsid w:val="004448CC"/>
    <w:rsid w:val="00444E84"/>
    <w:rsid w:val="00444FDF"/>
    <w:rsid w:val="00445136"/>
    <w:rsid w:val="00445717"/>
    <w:rsid w:val="00445C6A"/>
    <w:rsid w:val="00447247"/>
    <w:rsid w:val="004507FD"/>
    <w:rsid w:val="00450E57"/>
    <w:rsid w:val="00450F16"/>
    <w:rsid w:val="00451267"/>
    <w:rsid w:val="004515E1"/>
    <w:rsid w:val="00451A93"/>
    <w:rsid w:val="00451B39"/>
    <w:rsid w:val="00451B94"/>
    <w:rsid w:val="00452D8C"/>
    <w:rsid w:val="00452E64"/>
    <w:rsid w:val="00452F2D"/>
    <w:rsid w:val="004533F7"/>
    <w:rsid w:val="00453CA2"/>
    <w:rsid w:val="004542FA"/>
    <w:rsid w:val="00454B0C"/>
    <w:rsid w:val="00454E5C"/>
    <w:rsid w:val="00455A44"/>
    <w:rsid w:val="00456409"/>
    <w:rsid w:val="00456FC8"/>
    <w:rsid w:val="004571EC"/>
    <w:rsid w:val="00457261"/>
    <w:rsid w:val="00457B4C"/>
    <w:rsid w:val="00457E0E"/>
    <w:rsid w:val="0046041E"/>
    <w:rsid w:val="00460AA0"/>
    <w:rsid w:val="00460EC2"/>
    <w:rsid w:val="00460F27"/>
    <w:rsid w:val="004610C4"/>
    <w:rsid w:val="004616C2"/>
    <w:rsid w:val="00461C34"/>
    <w:rsid w:val="00461CCF"/>
    <w:rsid w:val="00461DA4"/>
    <w:rsid w:val="00461E9B"/>
    <w:rsid w:val="004628BF"/>
    <w:rsid w:val="004629A9"/>
    <w:rsid w:val="00462A67"/>
    <w:rsid w:val="004633DA"/>
    <w:rsid w:val="004635E3"/>
    <w:rsid w:val="00463E7F"/>
    <w:rsid w:val="00464220"/>
    <w:rsid w:val="004643A5"/>
    <w:rsid w:val="00464576"/>
    <w:rsid w:val="0046483D"/>
    <w:rsid w:val="00464CD5"/>
    <w:rsid w:val="00465D99"/>
    <w:rsid w:val="00465E0A"/>
    <w:rsid w:val="00465EAB"/>
    <w:rsid w:val="00465F8B"/>
    <w:rsid w:val="00466031"/>
    <w:rsid w:val="004661ED"/>
    <w:rsid w:val="00466ED0"/>
    <w:rsid w:val="00467766"/>
    <w:rsid w:val="00467A91"/>
    <w:rsid w:val="0047067C"/>
    <w:rsid w:val="00470AC0"/>
    <w:rsid w:val="00470CA0"/>
    <w:rsid w:val="00471073"/>
    <w:rsid w:val="0047209E"/>
    <w:rsid w:val="0047248C"/>
    <w:rsid w:val="00472690"/>
    <w:rsid w:val="00472A2E"/>
    <w:rsid w:val="00472C21"/>
    <w:rsid w:val="00472D72"/>
    <w:rsid w:val="00473B88"/>
    <w:rsid w:val="00474081"/>
    <w:rsid w:val="00474BBA"/>
    <w:rsid w:val="00474FDA"/>
    <w:rsid w:val="00475118"/>
    <w:rsid w:val="004751F8"/>
    <w:rsid w:val="004752C3"/>
    <w:rsid w:val="00475531"/>
    <w:rsid w:val="00475CDC"/>
    <w:rsid w:val="00475D82"/>
    <w:rsid w:val="00475F1D"/>
    <w:rsid w:val="0047619E"/>
    <w:rsid w:val="0047645A"/>
    <w:rsid w:val="00476B39"/>
    <w:rsid w:val="00476BEC"/>
    <w:rsid w:val="00477078"/>
    <w:rsid w:val="004771B8"/>
    <w:rsid w:val="00481BB3"/>
    <w:rsid w:val="00481E7E"/>
    <w:rsid w:val="00481E93"/>
    <w:rsid w:val="004822AF"/>
    <w:rsid w:val="0048273B"/>
    <w:rsid w:val="00482799"/>
    <w:rsid w:val="0048295B"/>
    <w:rsid w:val="00482B2F"/>
    <w:rsid w:val="00482DA4"/>
    <w:rsid w:val="00482E18"/>
    <w:rsid w:val="0048338D"/>
    <w:rsid w:val="00483A66"/>
    <w:rsid w:val="00483DEA"/>
    <w:rsid w:val="00484776"/>
    <w:rsid w:val="00484BA6"/>
    <w:rsid w:val="00484CD5"/>
    <w:rsid w:val="00484F43"/>
    <w:rsid w:val="00485344"/>
    <w:rsid w:val="0048552C"/>
    <w:rsid w:val="004860AC"/>
    <w:rsid w:val="00486477"/>
    <w:rsid w:val="00486CDE"/>
    <w:rsid w:val="00487553"/>
    <w:rsid w:val="004875FC"/>
    <w:rsid w:val="00487644"/>
    <w:rsid w:val="00487D26"/>
    <w:rsid w:val="00487D34"/>
    <w:rsid w:val="00490C9B"/>
    <w:rsid w:val="00490D45"/>
    <w:rsid w:val="00490FDA"/>
    <w:rsid w:val="00491018"/>
    <w:rsid w:val="0049104A"/>
    <w:rsid w:val="00491580"/>
    <w:rsid w:val="00491B85"/>
    <w:rsid w:val="00492177"/>
    <w:rsid w:val="0049220A"/>
    <w:rsid w:val="00492418"/>
    <w:rsid w:val="00492D83"/>
    <w:rsid w:val="00493266"/>
    <w:rsid w:val="004932BE"/>
    <w:rsid w:val="00493EA2"/>
    <w:rsid w:val="004949D4"/>
    <w:rsid w:val="00494F17"/>
    <w:rsid w:val="004950BB"/>
    <w:rsid w:val="00495373"/>
    <w:rsid w:val="0049560E"/>
    <w:rsid w:val="004956F1"/>
    <w:rsid w:val="00496B26"/>
    <w:rsid w:val="00497A8F"/>
    <w:rsid w:val="004A004B"/>
    <w:rsid w:val="004A0326"/>
    <w:rsid w:val="004A05D8"/>
    <w:rsid w:val="004A0699"/>
    <w:rsid w:val="004A0F7E"/>
    <w:rsid w:val="004A1792"/>
    <w:rsid w:val="004A1942"/>
    <w:rsid w:val="004A197A"/>
    <w:rsid w:val="004A268B"/>
    <w:rsid w:val="004A28DE"/>
    <w:rsid w:val="004A2CB7"/>
    <w:rsid w:val="004A35F9"/>
    <w:rsid w:val="004A3F42"/>
    <w:rsid w:val="004A4476"/>
    <w:rsid w:val="004A44C6"/>
    <w:rsid w:val="004A52CA"/>
    <w:rsid w:val="004A5E16"/>
    <w:rsid w:val="004A6054"/>
    <w:rsid w:val="004A60F4"/>
    <w:rsid w:val="004A6193"/>
    <w:rsid w:val="004A642F"/>
    <w:rsid w:val="004A64AA"/>
    <w:rsid w:val="004A68D0"/>
    <w:rsid w:val="004A6A7A"/>
    <w:rsid w:val="004A6B9D"/>
    <w:rsid w:val="004A75BE"/>
    <w:rsid w:val="004A7631"/>
    <w:rsid w:val="004A7BE4"/>
    <w:rsid w:val="004A7D57"/>
    <w:rsid w:val="004B0150"/>
    <w:rsid w:val="004B01BD"/>
    <w:rsid w:val="004B026F"/>
    <w:rsid w:val="004B043D"/>
    <w:rsid w:val="004B0509"/>
    <w:rsid w:val="004B0DFA"/>
    <w:rsid w:val="004B0FC7"/>
    <w:rsid w:val="004B139B"/>
    <w:rsid w:val="004B1575"/>
    <w:rsid w:val="004B215E"/>
    <w:rsid w:val="004B21F9"/>
    <w:rsid w:val="004B282E"/>
    <w:rsid w:val="004B2B15"/>
    <w:rsid w:val="004B2B77"/>
    <w:rsid w:val="004B32B0"/>
    <w:rsid w:val="004B439C"/>
    <w:rsid w:val="004B4459"/>
    <w:rsid w:val="004B4898"/>
    <w:rsid w:val="004B6406"/>
    <w:rsid w:val="004B682B"/>
    <w:rsid w:val="004B69E0"/>
    <w:rsid w:val="004B7093"/>
    <w:rsid w:val="004B775F"/>
    <w:rsid w:val="004B7774"/>
    <w:rsid w:val="004B78BD"/>
    <w:rsid w:val="004B79DA"/>
    <w:rsid w:val="004C0155"/>
    <w:rsid w:val="004C034C"/>
    <w:rsid w:val="004C04DD"/>
    <w:rsid w:val="004C072A"/>
    <w:rsid w:val="004C1977"/>
    <w:rsid w:val="004C19AF"/>
    <w:rsid w:val="004C1B6D"/>
    <w:rsid w:val="004C1B7E"/>
    <w:rsid w:val="004C23F8"/>
    <w:rsid w:val="004C2769"/>
    <w:rsid w:val="004C2FD6"/>
    <w:rsid w:val="004C3CA8"/>
    <w:rsid w:val="004C3D5E"/>
    <w:rsid w:val="004C3F45"/>
    <w:rsid w:val="004C3FE5"/>
    <w:rsid w:val="004C4B44"/>
    <w:rsid w:val="004C4B83"/>
    <w:rsid w:val="004C4C8C"/>
    <w:rsid w:val="004C5564"/>
    <w:rsid w:val="004C578B"/>
    <w:rsid w:val="004C57FD"/>
    <w:rsid w:val="004C5964"/>
    <w:rsid w:val="004C6279"/>
    <w:rsid w:val="004C658D"/>
    <w:rsid w:val="004C6772"/>
    <w:rsid w:val="004C6D48"/>
    <w:rsid w:val="004C7621"/>
    <w:rsid w:val="004C7A22"/>
    <w:rsid w:val="004C7A44"/>
    <w:rsid w:val="004D00A8"/>
    <w:rsid w:val="004D03E7"/>
    <w:rsid w:val="004D0A18"/>
    <w:rsid w:val="004D0C12"/>
    <w:rsid w:val="004D0DFF"/>
    <w:rsid w:val="004D0E1B"/>
    <w:rsid w:val="004D0E43"/>
    <w:rsid w:val="004D149F"/>
    <w:rsid w:val="004D14D8"/>
    <w:rsid w:val="004D19C2"/>
    <w:rsid w:val="004D228F"/>
    <w:rsid w:val="004D3A10"/>
    <w:rsid w:val="004D3E5E"/>
    <w:rsid w:val="004D4A1D"/>
    <w:rsid w:val="004D4C54"/>
    <w:rsid w:val="004D4DFB"/>
    <w:rsid w:val="004D4E06"/>
    <w:rsid w:val="004D54EB"/>
    <w:rsid w:val="004D5540"/>
    <w:rsid w:val="004D5713"/>
    <w:rsid w:val="004D5ECC"/>
    <w:rsid w:val="004D69A4"/>
    <w:rsid w:val="004D6C64"/>
    <w:rsid w:val="004D708E"/>
    <w:rsid w:val="004D72BE"/>
    <w:rsid w:val="004D78F2"/>
    <w:rsid w:val="004D7DD1"/>
    <w:rsid w:val="004D7EE8"/>
    <w:rsid w:val="004E0738"/>
    <w:rsid w:val="004E090A"/>
    <w:rsid w:val="004E14F1"/>
    <w:rsid w:val="004E174E"/>
    <w:rsid w:val="004E1D47"/>
    <w:rsid w:val="004E1D4A"/>
    <w:rsid w:val="004E254D"/>
    <w:rsid w:val="004E2852"/>
    <w:rsid w:val="004E3CB6"/>
    <w:rsid w:val="004E40FE"/>
    <w:rsid w:val="004E4913"/>
    <w:rsid w:val="004E4A2F"/>
    <w:rsid w:val="004E6BEE"/>
    <w:rsid w:val="004E6E7D"/>
    <w:rsid w:val="004E6EAC"/>
    <w:rsid w:val="004E73AF"/>
    <w:rsid w:val="004E759E"/>
    <w:rsid w:val="004E77D7"/>
    <w:rsid w:val="004E7A1F"/>
    <w:rsid w:val="004F0230"/>
    <w:rsid w:val="004F074D"/>
    <w:rsid w:val="004F1003"/>
    <w:rsid w:val="004F11FE"/>
    <w:rsid w:val="004F1523"/>
    <w:rsid w:val="004F17F1"/>
    <w:rsid w:val="004F2414"/>
    <w:rsid w:val="004F2C36"/>
    <w:rsid w:val="004F2D1B"/>
    <w:rsid w:val="004F2E17"/>
    <w:rsid w:val="004F2EC2"/>
    <w:rsid w:val="004F339C"/>
    <w:rsid w:val="004F3D0E"/>
    <w:rsid w:val="004F4211"/>
    <w:rsid w:val="004F43C0"/>
    <w:rsid w:val="004F4B2E"/>
    <w:rsid w:val="004F4E1F"/>
    <w:rsid w:val="004F5566"/>
    <w:rsid w:val="004F5793"/>
    <w:rsid w:val="004F57A9"/>
    <w:rsid w:val="004F58A1"/>
    <w:rsid w:val="004F602C"/>
    <w:rsid w:val="004F707F"/>
    <w:rsid w:val="004F7223"/>
    <w:rsid w:val="004F7468"/>
    <w:rsid w:val="004F75F3"/>
    <w:rsid w:val="00500B92"/>
    <w:rsid w:val="005011E3"/>
    <w:rsid w:val="005013A3"/>
    <w:rsid w:val="00501886"/>
    <w:rsid w:val="00501EF6"/>
    <w:rsid w:val="00502998"/>
    <w:rsid w:val="005029D4"/>
    <w:rsid w:val="00502E9D"/>
    <w:rsid w:val="00503380"/>
    <w:rsid w:val="00503843"/>
    <w:rsid w:val="005038D7"/>
    <w:rsid w:val="0050446C"/>
    <w:rsid w:val="0050496A"/>
    <w:rsid w:val="00504BF5"/>
    <w:rsid w:val="00504C3F"/>
    <w:rsid w:val="00505109"/>
    <w:rsid w:val="00505707"/>
    <w:rsid w:val="00505714"/>
    <w:rsid w:val="00505AE5"/>
    <w:rsid w:val="00505CEF"/>
    <w:rsid w:val="005062C8"/>
    <w:rsid w:val="00506996"/>
    <w:rsid w:val="00506CE6"/>
    <w:rsid w:val="00506DB4"/>
    <w:rsid w:val="00506F24"/>
    <w:rsid w:val="00507C8F"/>
    <w:rsid w:val="0051070B"/>
    <w:rsid w:val="00510A0A"/>
    <w:rsid w:val="00510A12"/>
    <w:rsid w:val="00510B88"/>
    <w:rsid w:val="00510E19"/>
    <w:rsid w:val="00511525"/>
    <w:rsid w:val="0051160F"/>
    <w:rsid w:val="00511652"/>
    <w:rsid w:val="005116FA"/>
    <w:rsid w:val="00511B07"/>
    <w:rsid w:val="00511D31"/>
    <w:rsid w:val="00511E5D"/>
    <w:rsid w:val="00511FD1"/>
    <w:rsid w:val="0051239F"/>
    <w:rsid w:val="00512821"/>
    <w:rsid w:val="0051334D"/>
    <w:rsid w:val="00514031"/>
    <w:rsid w:val="005142BB"/>
    <w:rsid w:val="00514659"/>
    <w:rsid w:val="00514722"/>
    <w:rsid w:val="00515052"/>
    <w:rsid w:val="00516643"/>
    <w:rsid w:val="00516791"/>
    <w:rsid w:val="005167F2"/>
    <w:rsid w:val="0051685B"/>
    <w:rsid w:val="00516BA3"/>
    <w:rsid w:val="00516DFB"/>
    <w:rsid w:val="005170F6"/>
    <w:rsid w:val="005170FA"/>
    <w:rsid w:val="00517545"/>
    <w:rsid w:val="005176F2"/>
    <w:rsid w:val="005178FB"/>
    <w:rsid w:val="00517E25"/>
    <w:rsid w:val="00517F72"/>
    <w:rsid w:val="00517FA3"/>
    <w:rsid w:val="00517FB0"/>
    <w:rsid w:val="0052025A"/>
    <w:rsid w:val="00520726"/>
    <w:rsid w:val="0052092B"/>
    <w:rsid w:val="005209E7"/>
    <w:rsid w:val="00520A22"/>
    <w:rsid w:val="00520FF4"/>
    <w:rsid w:val="0052102A"/>
    <w:rsid w:val="00521076"/>
    <w:rsid w:val="00521590"/>
    <w:rsid w:val="005215E4"/>
    <w:rsid w:val="00521842"/>
    <w:rsid w:val="00521A30"/>
    <w:rsid w:val="00521E64"/>
    <w:rsid w:val="00522267"/>
    <w:rsid w:val="005222D7"/>
    <w:rsid w:val="00522843"/>
    <w:rsid w:val="00522DAB"/>
    <w:rsid w:val="00522FC8"/>
    <w:rsid w:val="00523127"/>
    <w:rsid w:val="00523157"/>
    <w:rsid w:val="00523976"/>
    <w:rsid w:val="00523CF3"/>
    <w:rsid w:val="00524131"/>
    <w:rsid w:val="005255DD"/>
    <w:rsid w:val="00525BE0"/>
    <w:rsid w:val="00525D61"/>
    <w:rsid w:val="00525DEC"/>
    <w:rsid w:val="00525E24"/>
    <w:rsid w:val="0052622B"/>
    <w:rsid w:val="005263E6"/>
    <w:rsid w:val="005265AA"/>
    <w:rsid w:val="005279F4"/>
    <w:rsid w:val="00527AAA"/>
    <w:rsid w:val="00527DEB"/>
    <w:rsid w:val="00527E5A"/>
    <w:rsid w:val="005301E4"/>
    <w:rsid w:val="00530745"/>
    <w:rsid w:val="00530857"/>
    <w:rsid w:val="00530ABE"/>
    <w:rsid w:val="00531062"/>
    <w:rsid w:val="0053126F"/>
    <w:rsid w:val="00532260"/>
    <w:rsid w:val="00533464"/>
    <w:rsid w:val="00533918"/>
    <w:rsid w:val="00533AD4"/>
    <w:rsid w:val="00533FAD"/>
    <w:rsid w:val="00534906"/>
    <w:rsid w:val="005349E2"/>
    <w:rsid w:val="00534AE7"/>
    <w:rsid w:val="00534F77"/>
    <w:rsid w:val="0053517B"/>
    <w:rsid w:val="005353E8"/>
    <w:rsid w:val="00535869"/>
    <w:rsid w:val="00535C85"/>
    <w:rsid w:val="00535E60"/>
    <w:rsid w:val="00536546"/>
    <w:rsid w:val="0053702C"/>
    <w:rsid w:val="005402BD"/>
    <w:rsid w:val="005403CC"/>
    <w:rsid w:val="00540D72"/>
    <w:rsid w:val="00540DE1"/>
    <w:rsid w:val="005416BF"/>
    <w:rsid w:val="0054185D"/>
    <w:rsid w:val="00541EF3"/>
    <w:rsid w:val="00542149"/>
    <w:rsid w:val="0054295C"/>
    <w:rsid w:val="005429BA"/>
    <w:rsid w:val="00543024"/>
    <w:rsid w:val="00543438"/>
    <w:rsid w:val="00543499"/>
    <w:rsid w:val="00543621"/>
    <w:rsid w:val="00543803"/>
    <w:rsid w:val="0054394B"/>
    <w:rsid w:val="005439C6"/>
    <w:rsid w:val="00543DC0"/>
    <w:rsid w:val="00544048"/>
    <w:rsid w:val="005442C7"/>
    <w:rsid w:val="0054499C"/>
    <w:rsid w:val="005449B3"/>
    <w:rsid w:val="00544B16"/>
    <w:rsid w:val="005454FA"/>
    <w:rsid w:val="005457F2"/>
    <w:rsid w:val="005459DD"/>
    <w:rsid w:val="00545AD9"/>
    <w:rsid w:val="00546153"/>
    <w:rsid w:val="00546407"/>
    <w:rsid w:val="005470D4"/>
    <w:rsid w:val="00547241"/>
    <w:rsid w:val="00547765"/>
    <w:rsid w:val="00547826"/>
    <w:rsid w:val="00547CBD"/>
    <w:rsid w:val="00550089"/>
    <w:rsid w:val="00550178"/>
    <w:rsid w:val="00550536"/>
    <w:rsid w:val="00551349"/>
    <w:rsid w:val="005517EE"/>
    <w:rsid w:val="00551F82"/>
    <w:rsid w:val="00552A89"/>
    <w:rsid w:val="00552E42"/>
    <w:rsid w:val="005538BF"/>
    <w:rsid w:val="0055456C"/>
    <w:rsid w:val="00554F99"/>
    <w:rsid w:val="005559B0"/>
    <w:rsid w:val="00555E55"/>
    <w:rsid w:val="00555EBF"/>
    <w:rsid w:val="005565E4"/>
    <w:rsid w:val="0055689F"/>
    <w:rsid w:val="00556977"/>
    <w:rsid w:val="00556BF6"/>
    <w:rsid w:val="00557B39"/>
    <w:rsid w:val="00557C77"/>
    <w:rsid w:val="00557E84"/>
    <w:rsid w:val="00557F86"/>
    <w:rsid w:val="00557FCB"/>
    <w:rsid w:val="00560086"/>
    <w:rsid w:val="0056026B"/>
    <w:rsid w:val="00560511"/>
    <w:rsid w:val="00560C02"/>
    <w:rsid w:val="005613A4"/>
    <w:rsid w:val="00561555"/>
    <w:rsid w:val="00561908"/>
    <w:rsid w:val="00561A8C"/>
    <w:rsid w:val="005625F4"/>
    <w:rsid w:val="0056315A"/>
    <w:rsid w:val="00564035"/>
    <w:rsid w:val="0056432B"/>
    <w:rsid w:val="005644D3"/>
    <w:rsid w:val="00564B09"/>
    <w:rsid w:val="00564E47"/>
    <w:rsid w:val="00564ED1"/>
    <w:rsid w:val="00565D59"/>
    <w:rsid w:val="00565DD5"/>
    <w:rsid w:val="00565F6E"/>
    <w:rsid w:val="00566AAB"/>
    <w:rsid w:val="00566C7E"/>
    <w:rsid w:val="00567245"/>
    <w:rsid w:val="00567772"/>
    <w:rsid w:val="00567806"/>
    <w:rsid w:val="0057055C"/>
    <w:rsid w:val="005712CA"/>
    <w:rsid w:val="005717E1"/>
    <w:rsid w:val="005719C8"/>
    <w:rsid w:val="00571F48"/>
    <w:rsid w:val="005722A6"/>
    <w:rsid w:val="005726A9"/>
    <w:rsid w:val="00572F27"/>
    <w:rsid w:val="00572F85"/>
    <w:rsid w:val="00574642"/>
    <w:rsid w:val="00574684"/>
    <w:rsid w:val="00574F90"/>
    <w:rsid w:val="00574F9B"/>
    <w:rsid w:val="005750E4"/>
    <w:rsid w:val="00575DA2"/>
    <w:rsid w:val="00575EDA"/>
    <w:rsid w:val="00576443"/>
    <w:rsid w:val="005765C0"/>
    <w:rsid w:val="00576823"/>
    <w:rsid w:val="00577335"/>
    <w:rsid w:val="005773FF"/>
    <w:rsid w:val="00580189"/>
    <w:rsid w:val="00580681"/>
    <w:rsid w:val="00580E63"/>
    <w:rsid w:val="00580F15"/>
    <w:rsid w:val="0058135D"/>
    <w:rsid w:val="00581786"/>
    <w:rsid w:val="00581F3C"/>
    <w:rsid w:val="005822E7"/>
    <w:rsid w:val="00582A1F"/>
    <w:rsid w:val="00582C55"/>
    <w:rsid w:val="00582DAB"/>
    <w:rsid w:val="005830E8"/>
    <w:rsid w:val="0058313E"/>
    <w:rsid w:val="00584402"/>
    <w:rsid w:val="00584E55"/>
    <w:rsid w:val="00584F0C"/>
    <w:rsid w:val="00584FBD"/>
    <w:rsid w:val="00585425"/>
    <w:rsid w:val="0058565E"/>
    <w:rsid w:val="005857AA"/>
    <w:rsid w:val="00585CDC"/>
    <w:rsid w:val="00585E1E"/>
    <w:rsid w:val="00585E2A"/>
    <w:rsid w:val="0058634D"/>
    <w:rsid w:val="00587D2D"/>
    <w:rsid w:val="00587FFE"/>
    <w:rsid w:val="005909FE"/>
    <w:rsid w:val="00590A90"/>
    <w:rsid w:val="005925A9"/>
    <w:rsid w:val="00592638"/>
    <w:rsid w:val="005927B8"/>
    <w:rsid w:val="0059283C"/>
    <w:rsid w:val="005934D9"/>
    <w:rsid w:val="0059361B"/>
    <w:rsid w:val="00594BE1"/>
    <w:rsid w:val="00594C99"/>
    <w:rsid w:val="00594CE1"/>
    <w:rsid w:val="00594D63"/>
    <w:rsid w:val="00594E63"/>
    <w:rsid w:val="0059559D"/>
    <w:rsid w:val="00596C41"/>
    <w:rsid w:val="00597C24"/>
    <w:rsid w:val="00597F3D"/>
    <w:rsid w:val="005A0064"/>
    <w:rsid w:val="005A0A7B"/>
    <w:rsid w:val="005A1935"/>
    <w:rsid w:val="005A1BC3"/>
    <w:rsid w:val="005A1C0B"/>
    <w:rsid w:val="005A1D24"/>
    <w:rsid w:val="005A1D82"/>
    <w:rsid w:val="005A1FA7"/>
    <w:rsid w:val="005A208F"/>
    <w:rsid w:val="005A2553"/>
    <w:rsid w:val="005A2822"/>
    <w:rsid w:val="005A2978"/>
    <w:rsid w:val="005A2A61"/>
    <w:rsid w:val="005A2D87"/>
    <w:rsid w:val="005A3ABB"/>
    <w:rsid w:val="005A3AC7"/>
    <w:rsid w:val="005A4665"/>
    <w:rsid w:val="005A4972"/>
    <w:rsid w:val="005A4B08"/>
    <w:rsid w:val="005A5E6A"/>
    <w:rsid w:val="005A64E8"/>
    <w:rsid w:val="005A6CF8"/>
    <w:rsid w:val="005A783A"/>
    <w:rsid w:val="005A7C55"/>
    <w:rsid w:val="005A7DA0"/>
    <w:rsid w:val="005A7FEA"/>
    <w:rsid w:val="005B007F"/>
    <w:rsid w:val="005B0306"/>
    <w:rsid w:val="005B0957"/>
    <w:rsid w:val="005B12AF"/>
    <w:rsid w:val="005B149F"/>
    <w:rsid w:val="005B1556"/>
    <w:rsid w:val="005B19B7"/>
    <w:rsid w:val="005B22A2"/>
    <w:rsid w:val="005B22A5"/>
    <w:rsid w:val="005B3173"/>
    <w:rsid w:val="005B3286"/>
    <w:rsid w:val="005B34FF"/>
    <w:rsid w:val="005B4F9D"/>
    <w:rsid w:val="005B5731"/>
    <w:rsid w:val="005B6022"/>
    <w:rsid w:val="005B60F3"/>
    <w:rsid w:val="005B6226"/>
    <w:rsid w:val="005B6528"/>
    <w:rsid w:val="005B6EBC"/>
    <w:rsid w:val="005B6F2B"/>
    <w:rsid w:val="005B7D10"/>
    <w:rsid w:val="005C06E6"/>
    <w:rsid w:val="005C0901"/>
    <w:rsid w:val="005C0B72"/>
    <w:rsid w:val="005C1747"/>
    <w:rsid w:val="005C1845"/>
    <w:rsid w:val="005C1F89"/>
    <w:rsid w:val="005C2600"/>
    <w:rsid w:val="005C2AF2"/>
    <w:rsid w:val="005C2D14"/>
    <w:rsid w:val="005C2F89"/>
    <w:rsid w:val="005C30AB"/>
    <w:rsid w:val="005C4C1D"/>
    <w:rsid w:val="005C4E6A"/>
    <w:rsid w:val="005C5239"/>
    <w:rsid w:val="005C52FD"/>
    <w:rsid w:val="005C5CF7"/>
    <w:rsid w:val="005C5DC9"/>
    <w:rsid w:val="005C6292"/>
    <w:rsid w:val="005C6673"/>
    <w:rsid w:val="005C67CE"/>
    <w:rsid w:val="005C69A8"/>
    <w:rsid w:val="005C69D5"/>
    <w:rsid w:val="005C6CC2"/>
    <w:rsid w:val="005C7D54"/>
    <w:rsid w:val="005C7FC9"/>
    <w:rsid w:val="005D0B8A"/>
    <w:rsid w:val="005D188B"/>
    <w:rsid w:val="005D1AA1"/>
    <w:rsid w:val="005D2684"/>
    <w:rsid w:val="005D275E"/>
    <w:rsid w:val="005D2D3B"/>
    <w:rsid w:val="005D35EF"/>
    <w:rsid w:val="005D3AB6"/>
    <w:rsid w:val="005D3F8C"/>
    <w:rsid w:val="005D4031"/>
    <w:rsid w:val="005D408F"/>
    <w:rsid w:val="005D4727"/>
    <w:rsid w:val="005D5415"/>
    <w:rsid w:val="005D5B55"/>
    <w:rsid w:val="005D5EBC"/>
    <w:rsid w:val="005D5F47"/>
    <w:rsid w:val="005D6011"/>
    <w:rsid w:val="005D61FE"/>
    <w:rsid w:val="005D6BEB"/>
    <w:rsid w:val="005D6C36"/>
    <w:rsid w:val="005D76BF"/>
    <w:rsid w:val="005D7832"/>
    <w:rsid w:val="005D7B95"/>
    <w:rsid w:val="005D7D1A"/>
    <w:rsid w:val="005E062E"/>
    <w:rsid w:val="005E0A3F"/>
    <w:rsid w:val="005E10D0"/>
    <w:rsid w:val="005E12A3"/>
    <w:rsid w:val="005E13D3"/>
    <w:rsid w:val="005E1961"/>
    <w:rsid w:val="005E19DC"/>
    <w:rsid w:val="005E1F0E"/>
    <w:rsid w:val="005E2116"/>
    <w:rsid w:val="005E23B4"/>
    <w:rsid w:val="005E254D"/>
    <w:rsid w:val="005E2B11"/>
    <w:rsid w:val="005E2B35"/>
    <w:rsid w:val="005E30A1"/>
    <w:rsid w:val="005E3340"/>
    <w:rsid w:val="005E34B8"/>
    <w:rsid w:val="005E36C1"/>
    <w:rsid w:val="005E3B31"/>
    <w:rsid w:val="005E44F0"/>
    <w:rsid w:val="005E4529"/>
    <w:rsid w:val="005E5AF2"/>
    <w:rsid w:val="005E5B0B"/>
    <w:rsid w:val="005E5EE2"/>
    <w:rsid w:val="005E6753"/>
    <w:rsid w:val="005E6962"/>
    <w:rsid w:val="005E696B"/>
    <w:rsid w:val="005E6D3E"/>
    <w:rsid w:val="005E72BB"/>
    <w:rsid w:val="005E73AC"/>
    <w:rsid w:val="005E7768"/>
    <w:rsid w:val="005E7803"/>
    <w:rsid w:val="005E7A6E"/>
    <w:rsid w:val="005E7DAF"/>
    <w:rsid w:val="005F011B"/>
    <w:rsid w:val="005F04D9"/>
    <w:rsid w:val="005F08AD"/>
    <w:rsid w:val="005F115A"/>
    <w:rsid w:val="005F17A9"/>
    <w:rsid w:val="005F17DA"/>
    <w:rsid w:val="005F18E3"/>
    <w:rsid w:val="005F1988"/>
    <w:rsid w:val="005F1EA3"/>
    <w:rsid w:val="005F1F61"/>
    <w:rsid w:val="005F1F95"/>
    <w:rsid w:val="005F20A6"/>
    <w:rsid w:val="005F2A9C"/>
    <w:rsid w:val="005F3036"/>
    <w:rsid w:val="005F3871"/>
    <w:rsid w:val="005F393E"/>
    <w:rsid w:val="005F3B77"/>
    <w:rsid w:val="005F4BBD"/>
    <w:rsid w:val="005F5074"/>
    <w:rsid w:val="005F5477"/>
    <w:rsid w:val="005F5CCB"/>
    <w:rsid w:val="005F5D35"/>
    <w:rsid w:val="005F6E49"/>
    <w:rsid w:val="005F737B"/>
    <w:rsid w:val="005F746C"/>
    <w:rsid w:val="005F774D"/>
    <w:rsid w:val="005F799E"/>
    <w:rsid w:val="006000B0"/>
    <w:rsid w:val="00600638"/>
    <w:rsid w:val="006012C3"/>
    <w:rsid w:val="00601435"/>
    <w:rsid w:val="006016D0"/>
    <w:rsid w:val="00601A35"/>
    <w:rsid w:val="00601AAC"/>
    <w:rsid w:val="0060231C"/>
    <w:rsid w:val="006025C5"/>
    <w:rsid w:val="00602858"/>
    <w:rsid w:val="00603431"/>
    <w:rsid w:val="00603C5A"/>
    <w:rsid w:val="0060419E"/>
    <w:rsid w:val="00604448"/>
    <w:rsid w:val="00604750"/>
    <w:rsid w:val="00604C4B"/>
    <w:rsid w:val="006052FE"/>
    <w:rsid w:val="006059B5"/>
    <w:rsid w:val="0060614D"/>
    <w:rsid w:val="006067EC"/>
    <w:rsid w:val="00606961"/>
    <w:rsid w:val="00607343"/>
    <w:rsid w:val="00607415"/>
    <w:rsid w:val="00607650"/>
    <w:rsid w:val="006078C1"/>
    <w:rsid w:val="00607A02"/>
    <w:rsid w:val="006100F3"/>
    <w:rsid w:val="006104CB"/>
    <w:rsid w:val="00610BEC"/>
    <w:rsid w:val="006110A0"/>
    <w:rsid w:val="00611265"/>
    <w:rsid w:val="00611691"/>
    <w:rsid w:val="00611E04"/>
    <w:rsid w:val="00611EF0"/>
    <w:rsid w:val="00611EF6"/>
    <w:rsid w:val="006121F9"/>
    <w:rsid w:val="00612503"/>
    <w:rsid w:val="00612814"/>
    <w:rsid w:val="006130FD"/>
    <w:rsid w:val="0061325B"/>
    <w:rsid w:val="006132A4"/>
    <w:rsid w:val="006135B6"/>
    <w:rsid w:val="00613BE7"/>
    <w:rsid w:val="00613D14"/>
    <w:rsid w:val="0061401C"/>
    <w:rsid w:val="006142C3"/>
    <w:rsid w:val="006144B5"/>
    <w:rsid w:val="00614619"/>
    <w:rsid w:val="006155FA"/>
    <w:rsid w:val="00615C07"/>
    <w:rsid w:val="00616581"/>
    <w:rsid w:val="00616599"/>
    <w:rsid w:val="006167F0"/>
    <w:rsid w:val="006168CA"/>
    <w:rsid w:val="00616E01"/>
    <w:rsid w:val="006179D1"/>
    <w:rsid w:val="0062025F"/>
    <w:rsid w:val="00620B43"/>
    <w:rsid w:val="00620EAD"/>
    <w:rsid w:val="00621419"/>
    <w:rsid w:val="00621D0C"/>
    <w:rsid w:val="00622567"/>
    <w:rsid w:val="00622643"/>
    <w:rsid w:val="00622DBB"/>
    <w:rsid w:val="0062305C"/>
    <w:rsid w:val="006238A0"/>
    <w:rsid w:val="00623B42"/>
    <w:rsid w:val="006242F4"/>
    <w:rsid w:val="006244DE"/>
    <w:rsid w:val="006254D3"/>
    <w:rsid w:val="0062567F"/>
    <w:rsid w:val="00625AF1"/>
    <w:rsid w:val="00626106"/>
    <w:rsid w:val="0062620E"/>
    <w:rsid w:val="00626346"/>
    <w:rsid w:val="006265E0"/>
    <w:rsid w:val="0062703B"/>
    <w:rsid w:val="0062704C"/>
    <w:rsid w:val="00627940"/>
    <w:rsid w:val="006279EA"/>
    <w:rsid w:val="00627CA9"/>
    <w:rsid w:val="00627ED8"/>
    <w:rsid w:val="00627FC3"/>
    <w:rsid w:val="006301A5"/>
    <w:rsid w:val="006303D0"/>
    <w:rsid w:val="0063070C"/>
    <w:rsid w:val="006307EE"/>
    <w:rsid w:val="00630C91"/>
    <w:rsid w:val="00631260"/>
    <w:rsid w:val="006316D9"/>
    <w:rsid w:val="00631A1D"/>
    <w:rsid w:val="006320CB"/>
    <w:rsid w:val="00632378"/>
    <w:rsid w:val="00632DA1"/>
    <w:rsid w:val="00633829"/>
    <w:rsid w:val="00633DED"/>
    <w:rsid w:val="00634589"/>
    <w:rsid w:val="006346FE"/>
    <w:rsid w:val="00634817"/>
    <w:rsid w:val="00634D3D"/>
    <w:rsid w:val="00634DC9"/>
    <w:rsid w:val="00634E71"/>
    <w:rsid w:val="006350D7"/>
    <w:rsid w:val="0063510D"/>
    <w:rsid w:val="00635173"/>
    <w:rsid w:val="00635997"/>
    <w:rsid w:val="00635C2F"/>
    <w:rsid w:val="00635E3E"/>
    <w:rsid w:val="006360D7"/>
    <w:rsid w:val="006363E4"/>
    <w:rsid w:val="006365B4"/>
    <w:rsid w:val="00636B5E"/>
    <w:rsid w:val="00636CEE"/>
    <w:rsid w:val="00636D62"/>
    <w:rsid w:val="00636F4C"/>
    <w:rsid w:val="00636FE9"/>
    <w:rsid w:val="00637EFA"/>
    <w:rsid w:val="00640797"/>
    <w:rsid w:val="00640BC8"/>
    <w:rsid w:val="00640DCD"/>
    <w:rsid w:val="00640F6E"/>
    <w:rsid w:val="006414FF"/>
    <w:rsid w:val="006421D5"/>
    <w:rsid w:val="0064221C"/>
    <w:rsid w:val="00642451"/>
    <w:rsid w:val="00642544"/>
    <w:rsid w:val="006425A6"/>
    <w:rsid w:val="0064267D"/>
    <w:rsid w:val="00642A41"/>
    <w:rsid w:val="00642A56"/>
    <w:rsid w:val="00642B3F"/>
    <w:rsid w:val="00643194"/>
    <w:rsid w:val="0064375C"/>
    <w:rsid w:val="006439D1"/>
    <w:rsid w:val="00643CF3"/>
    <w:rsid w:val="00644D51"/>
    <w:rsid w:val="00644DA3"/>
    <w:rsid w:val="00645994"/>
    <w:rsid w:val="00645A66"/>
    <w:rsid w:val="00645F59"/>
    <w:rsid w:val="0064620D"/>
    <w:rsid w:val="006464B2"/>
    <w:rsid w:val="0064659A"/>
    <w:rsid w:val="00647075"/>
    <w:rsid w:val="00647171"/>
    <w:rsid w:val="00647480"/>
    <w:rsid w:val="00647AF1"/>
    <w:rsid w:val="00650AED"/>
    <w:rsid w:val="0065116A"/>
    <w:rsid w:val="00651A5E"/>
    <w:rsid w:val="00651EF4"/>
    <w:rsid w:val="0065240B"/>
    <w:rsid w:val="00652763"/>
    <w:rsid w:val="006527E4"/>
    <w:rsid w:val="00653B15"/>
    <w:rsid w:val="00653C58"/>
    <w:rsid w:val="00653F6D"/>
    <w:rsid w:val="00654C2B"/>
    <w:rsid w:val="00655300"/>
    <w:rsid w:val="00656644"/>
    <w:rsid w:val="00656718"/>
    <w:rsid w:val="00657254"/>
    <w:rsid w:val="00657313"/>
    <w:rsid w:val="006575BC"/>
    <w:rsid w:val="00657C3D"/>
    <w:rsid w:val="00657D9B"/>
    <w:rsid w:val="00657F0F"/>
    <w:rsid w:val="00657FAA"/>
    <w:rsid w:val="006604D2"/>
    <w:rsid w:val="006612FC"/>
    <w:rsid w:val="0066196B"/>
    <w:rsid w:val="00661989"/>
    <w:rsid w:val="00661A46"/>
    <w:rsid w:val="00661B56"/>
    <w:rsid w:val="00661BF9"/>
    <w:rsid w:val="00661CA2"/>
    <w:rsid w:val="00661E87"/>
    <w:rsid w:val="00661FC1"/>
    <w:rsid w:val="00662327"/>
    <w:rsid w:val="00662795"/>
    <w:rsid w:val="00662A36"/>
    <w:rsid w:val="006631CB"/>
    <w:rsid w:val="0066369F"/>
    <w:rsid w:val="00663802"/>
    <w:rsid w:val="00663DA3"/>
    <w:rsid w:val="00664392"/>
    <w:rsid w:val="006644DF"/>
    <w:rsid w:val="00664B90"/>
    <w:rsid w:val="00664C5F"/>
    <w:rsid w:val="00664DCB"/>
    <w:rsid w:val="0066605A"/>
    <w:rsid w:val="006660A5"/>
    <w:rsid w:val="00666899"/>
    <w:rsid w:val="00666D48"/>
    <w:rsid w:val="00666DCF"/>
    <w:rsid w:val="00667139"/>
    <w:rsid w:val="0066715D"/>
    <w:rsid w:val="006671DD"/>
    <w:rsid w:val="00667241"/>
    <w:rsid w:val="006674B5"/>
    <w:rsid w:val="0066752A"/>
    <w:rsid w:val="006678BC"/>
    <w:rsid w:val="00667998"/>
    <w:rsid w:val="00670971"/>
    <w:rsid w:val="006712F8"/>
    <w:rsid w:val="006722AC"/>
    <w:rsid w:val="006726B6"/>
    <w:rsid w:val="0067278A"/>
    <w:rsid w:val="00672E10"/>
    <w:rsid w:val="00673005"/>
    <w:rsid w:val="00673526"/>
    <w:rsid w:val="00673E7B"/>
    <w:rsid w:val="0067417E"/>
    <w:rsid w:val="006742D9"/>
    <w:rsid w:val="0067433D"/>
    <w:rsid w:val="00674502"/>
    <w:rsid w:val="006745BC"/>
    <w:rsid w:val="00674901"/>
    <w:rsid w:val="00674966"/>
    <w:rsid w:val="00674DD4"/>
    <w:rsid w:val="00675F6F"/>
    <w:rsid w:val="00676247"/>
    <w:rsid w:val="0067650C"/>
    <w:rsid w:val="00676599"/>
    <w:rsid w:val="006766C0"/>
    <w:rsid w:val="0067736D"/>
    <w:rsid w:val="00677727"/>
    <w:rsid w:val="00677E63"/>
    <w:rsid w:val="00677EA7"/>
    <w:rsid w:val="00680025"/>
    <w:rsid w:val="00680CBE"/>
    <w:rsid w:val="00680EEC"/>
    <w:rsid w:val="00681256"/>
    <w:rsid w:val="006821AC"/>
    <w:rsid w:val="00682252"/>
    <w:rsid w:val="00683127"/>
    <w:rsid w:val="00683347"/>
    <w:rsid w:val="00683736"/>
    <w:rsid w:val="00684343"/>
    <w:rsid w:val="00685122"/>
    <w:rsid w:val="006854BD"/>
    <w:rsid w:val="006855E1"/>
    <w:rsid w:val="00685B1D"/>
    <w:rsid w:val="00685C8C"/>
    <w:rsid w:val="00685F3C"/>
    <w:rsid w:val="00686587"/>
    <w:rsid w:val="006869FB"/>
    <w:rsid w:val="00686B86"/>
    <w:rsid w:val="00686FBF"/>
    <w:rsid w:val="00687104"/>
    <w:rsid w:val="00687569"/>
    <w:rsid w:val="00687891"/>
    <w:rsid w:val="006903E9"/>
    <w:rsid w:val="00690DA7"/>
    <w:rsid w:val="006914F5"/>
    <w:rsid w:val="00691504"/>
    <w:rsid w:val="0069156D"/>
    <w:rsid w:val="00691704"/>
    <w:rsid w:val="00691720"/>
    <w:rsid w:val="006919F5"/>
    <w:rsid w:val="006922AF"/>
    <w:rsid w:val="00692406"/>
    <w:rsid w:val="006926B0"/>
    <w:rsid w:val="006928A6"/>
    <w:rsid w:val="00692D4B"/>
    <w:rsid w:val="00692E1D"/>
    <w:rsid w:val="00693508"/>
    <w:rsid w:val="00694BCB"/>
    <w:rsid w:val="00695364"/>
    <w:rsid w:val="006956C2"/>
    <w:rsid w:val="006959F0"/>
    <w:rsid w:val="00695DA8"/>
    <w:rsid w:val="00695F26"/>
    <w:rsid w:val="006965CB"/>
    <w:rsid w:val="00696A35"/>
    <w:rsid w:val="00696A4F"/>
    <w:rsid w:val="006977C9"/>
    <w:rsid w:val="0069796C"/>
    <w:rsid w:val="00697F11"/>
    <w:rsid w:val="006A031E"/>
    <w:rsid w:val="006A0F3B"/>
    <w:rsid w:val="006A1091"/>
    <w:rsid w:val="006A177C"/>
    <w:rsid w:val="006A29B5"/>
    <w:rsid w:val="006A3464"/>
    <w:rsid w:val="006A3D3C"/>
    <w:rsid w:val="006A4059"/>
    <w:rsid w:val="006A4504"/>
    <w:rsid w:val="006A4B5E"/>
    <w:rsid w:val="006A5819"/>
    <w:rsid w:val="006A589B"/>
    <w:rsid w:val="006A5F1D"/>
    <w:rsid w:val="006A653F"/>
    <w:rsid w:val="006A67F6"/>
    <w:rsid w:val="006A6F61"/>
    <w:rsid w:val="006A74B3"/>
    <w:rsid w:val="006A74E9"/>
    <w:rsid w:val="006A7E99"/>
    <w:rsid w:val="006B01E7"/>
    <w:rsid w:val="006B0AFE"/>
    <w:rsid w:val="006B0B3A"/>
    <w:rsid w:val="006B0FFF"/>
    <w:rsid w:val="006B1828"/>
    <w:rsid w:val="006B1E65"/>
    <w:rsid w:val="006B1F67"/>
    <w:rsid w:val="006B2403"/>
    <w:rsid w:val="006B25A7"/>
    <w:rsid w:val="006B2D4E"/>
    <w:rsid w:val="006B309C"/>
    <w:rsid w:val="006B319C"/>
    <w:rsid w:val="006B332C"/>
    <w:rsid w:val="006B34E3"/>
    <w:rsid w:val="006B398D"/>
    <w:rsid w:val="006B5033"/>
    <w:rsid w:val="006B549F"/>
    <w:rsid w:val="006B647A"/>
    <w:rsid w:val="006B653E"/>
    <w:rsid w:val="006B6A0B"/>
    <w:rsid w:val="006B7421"/>
    <w:rsid w:val="006B74D4"/>
    <w:rsid w:val="006B7B3C"/>
    <w:rsid w:val="006B7ECF"/>
    <w:rsid w:val="006C088E"/>
    <w:rsid w:val="006C1746"/>
    <w:rsid w:val="006C1DF2"/>
    <w:rsid w:val="006C2037"/>
    <w:rsid w:val="006C25F3"/>
    <w:rsid w:val="006C366B"/>
    <w:rsid w:val="006C39BF"/>
    <w:rsid w:val="006C39C3"/>
    <w:rsid w:val="006C4600"/>
    <w:rsid w:val="006C4B17"/>
    <w:rsid w:val="006C503B"/>
    <w:rsid w:val="006C5660"/>
    <w:rsid w:val="006C5D15"/>
    <w:rsid w:val="006C5E1E"/>
    <w:rsid w:val="006C63AC"/>
    <w:rsid w:val="006C721C"/>
    <w:rsid w:val="006C7320"/>
    <w:rsid w:val="006C7465"/>
    <w:rsid w:val="006C785D"/>
    <w:rsid w:val="006C78A9"/>
    <w:rsid w:val="006C7E3A"/>
    <w:rsid w:val="006D0230"/>
    <w:rsid w:val="006D0820"/>
    <w:rsid w:val="006D1524"/>
    <w:rsid w:val="006D163A"/>
    <w:rsid w:val="006D1D10"/>
    <w:rsid w:val="006D27F7"/>
    <w:rsid w:val="006D2FFD"/>
    <w:rsid w:val="006D342A"/>
    <w:rsid w:val="006D38EF"/>
    <w:rsid w:val="006D3AA4"/>
    <w:rsid w:val="006D4752"/>
    <w:rsid w:val="006D4848"/>
    <w:rsid w:val="006D4F76"/>
    <w:rsid w:val="006D5CC9"/>
    <w:rsid w:val="006D6D00"/>
    <w:rsid w:val="006D71BD"/>
    <w:rsid w:val="006D73F4"/>
    <w:rsid w:val="006D78A7"/>
    <w:rsid w:val="006E0041"/>
    <w:rsid w:val="006E0808"/>
    <w:rsid w:val="006E0ABC"/>
    <w:rsid w:val="006E0DBD"/>
    <w:rsid w:val="006E0F51"/>
    <w:rsid w:val="006E15EB"/>
    <w:rsid w:val="006E17D7"/>
    <w:rsid w:val="006E1A16"/>
    <w:rsid w:val="006E1D07"/>
    <w:rsid w:val="006E1ECB"/>
    <w:rsid w:val="006E28B0"/>
    <w:rsid w:val="006E2D6E"/>
    <w:rsid w:val="006E31AA"/>
    <w:rsid w:val="006E3402"/>
    <w:rsid w:val="006E390E"/>
    <w:rsid w:val="006E42CF"/>
    <w:rsid w:val="006E59A8"/>
    <w:rsid w:val="006E5BE1"/>
    <w:rsid w:val="006E7ED9"/>
    <w:rsid w:val="006F052F"/>
    <w:rsid w:val="006F0539"/>
    <w:rsid w:val="006F0E0E"/>
    <w:rsid w:val="006F0F6B"/>
    <w:rsid w:val="006F1046"/>
    <w:rsid w:val="006F118F"/>
    <w:rsid w:val="006F11D3"/>
    <w:rsid w:val="006F13F9"/>
    <w:rsid w:val="006F14E2"/>
    <w:rsid w:val="006F1598"/>
    <w:rsid w:val="006F168B"/>
    <w:rsid w:val="006F19E5"/>
    <w:rsid w:val="006F2015"/>
    <w:rsid w:val="006F28F4"/>
    <w:rsid w:val="006F2DD2"/>
    <w:rsid w:val="006F3046"/>
    <w:rsid w:val="006F3C16"/>
    <w:rsid w:val="006F4849"/>
    <w:rsid w:val="006F496A"/>
    <w:rsid w:val="006F4F81"/>
    <w:rsid w:val="006F5481"/>
    <w:rsid w:val="006F55DB"/>
    <w:rsid w:val="006F5C51"/>
    <w:rsid w:val="006F5E61"/>
    <w:rsid w:val="006F60EC"/>
    <w:rsid w:val="006F6742"/>
    <w:rsid w:val="006F68CE"/>
    <w:rsid w:val="006F77C8"/>
    <w:rsid w:val="006F79CA"/>
    <w:rsid w:val="006F7AA4"/>
    <w:rsid w:val="007006A9"/>
    <w:rsid w:val="00700A4A"/>
    <w:rsid w:val="007013D5"/>
    <w:rsid w:val="00701419"/>
    <w:rsid w:val="00701FDF"/>
    <w:rsid w:val="00702635"/>
    <w:rsid w:val="0070323D"/>
    <w:rsid w:val="00703465"/>
    <w:rsid w:val="0070385E"/>
    <w:rsid w:val="0070388F"/>
    <w:rsid w:val="00703F47"/>
    <w:rsid w:val="00704383"/>
    <w:rsid w:val="0070561F"/>
    <w:rsid w:val="0070605D"/>
    <w:rsid w:val="0070679C"/>
    <w:rsid w:val="00706B99"/>
    <w:rsid w:val="007070E5"/>
    <w:rsid w:val="007072E1"/>
    <w:rsid w:val="00707637"/>
    <w:rsid w:val="00707A38"/>
    <w:rsid w:val="00710820"/>
    <w:rsid w:val="00710980"/>
    <w:rsid w:val="00710A78"/>
    <w:rsid w:val="007112FC"/>
    <w:rsid w:val="0071141F"/>
    <w:rsid w:val="0071168A"/>
    <w:rsid w:val="00711C21"/>
    <w:rsid w:val="00711F2C"/>
    <w:rsid w:val="00711FB3"/>
    <w:rsid w:val="00712180"/>
    <w:rsid w:val="007125ED"/>
    <w:rsid w:val="00712D05"/>
    <w:rsid w:val="00713B8A"/>
    <w:rsid w:val="00713E44"/>
    <w:rsid w:val="0071431B"/>
    <w:rsid w:val="0071439C"/>
    <w:rsid w:val="0071457F"/>
    <w:rsid w:val="00715E03"/>
    <w:rsid w:val="00716093"/>
    <w:rsid w:val="007163E9"/>
    <w:rsid w:val="0071666D"/>
    <w:rsid w:val="00716AB5"/>
    <w:rsid w:val="00717E72"/>
    <w:rsid w:val="00720704"/>
    <w:rsid w:val="00720F38"/>
    <w:rsid w:val="00721216"/>
    <w:rsid w:val="0072128E"/>
    <w:rsid w:val="00721326"/>
    <w:rsid w:val="00721874"/>
    <w:rsid w:val="007218D9"/>
    <w:rsid w:val="00721A25"/>
    <w:rsid w:val="00722D63"/>
    <w:rsid w:val="007231E4"/>
    <w:rsid w:val="007232F8"/>
    <w:rsid w:val="007235EA"/>
    <w:rsid w:val="007236D3"/>
    <w:rsid w:val="00723947"/>
    <w:rsid w:val="00723D1E"/>
    <w:rsid w:val="00723D6E"/>
    <w:rsid w:val="00724175"/>
    <w:rsid w:val="00724990"/>
    <w:rsid w:val="00724D54"/>
    <w:rsid w:val="00724E97"/>
    <w:rsid w:val="00725E78"/>
    <w:rsid w:val="00725F3F"/>
    <w:rsid w:val="00726031"/>
    <w:rsid w:val="007273F1"/>
    <w:rsid w:val="00727CDC"/>
    <w:rsid w:val="00727E2A"/>
    <w:rsid w:val="00730970"/>
    <w:rsid w:val="00730B45"/>
    <w:rsid w:val="00730D08"/>
    <w:rsid w:val="007313F0"/>
    <w:rsid w:val="00731A3C"/>
    <w:rsid w:val="00731B92"/>
    <w:rsid w:val="00731CEB"/>
    <w:rsid w:val="00732743"/>
    <w:rsid w:val="00732C53"/>
    <w:rsid w:val="007333C0"/>
    <w:rsid w:val="0073361E"/>
    <w:rsid w:val="00734A7D"/>
    <w:rsid w:val="00734FDD"/>
    <w:rsid w:val="007350E4"/>
    <w:rsid w:val="00735389"/>
    <w:rsid w:val="0073562D"/>
    <w:rsid w:val="00735A4E"/>
    <w:rsid w:val="0073661F"/>
    <w:rsid w:val="00736B36"/>
    <w:rsid w:val="00736B46"/>
    <w:rsid w:val="00736D31"/>
    <w:rsid w:val="00736E86"/>
    <w:rsid w:val="007372BA"/>
    <w:rsid w:val="00737C08"/>
    <w:rsid w:val="00737D80"/>
    <w:rsid w:val="00737FC7"/>
    <w:rsid w:val="007400AB"/>
    <w:rsid w:val="00740328"/>
    <w:rsid w:val="007403D8"/>
    <w:rsid w:val="00740781"/>
    <w:rsid w:val="00740AF0"/>
    <w:rsid w:val="00740C27"/>
    <w:rsid w:val="00741627"/>
    <w:rsid w:val="00741699"/>
    <w:rsid w:val="007417D8"/>
    <w:rsid w:val="0074189B"/>
    <w:rsid w:val="00741941"/>
    <w:rsid w:val="00743F83"/>
    <w:rsid w:val="00744068"/>
    <w:rsid w:val="0074450D"/>
    <w:rsid w:val="007445D1"/>
    <w:rsid w:val="0074482A"/>
    <w:rsid w:val="00744AE9"/>
    <w:rsid w:val="00745499"/>
    <w:rsid w:val="0074667D"/>
    <w:rsid w:val="00746AFF"/>
    <w:rsid w:val="007474EA"/>
    <w:rsid w:val="007475F6"/>
    <w:rsid w:val="00747A80"/>
    <w:rsid w:val="00747E9B"/>
    <w:rsid w:val="00747EF7"/>
    <w:rsid w:val="00750949"/>
    <w:rsid w:val="007509EF"/>
    <w:rsid w:val="0075100F"/>
    <w:rsid w:val="0075107D"/>
    <w:rsid w:val="0075124A"/>
    <w:rsid w:val="00751CA3"/>
    <w:rsid w:val="007523B6"/>
    <w:rsid w:val="00752AD9"/>
    <w:rsid w:val="007530D7"/>
    <w:rsid w:val="0075316D"/>
    <w:rsid w:val="00753BD6"/>
    <w:rsid w:val="00753E64"/>
    <w:rsid w:val="00753EFE"/>
    <w:rsid w:val="00754446"/>
    <w:rsid w:val="00754715"/>
    <w:rsid w:val="00754A92"/>
    <w:rsid w:val="00754B4E"/>
    <w:rsid w:val="00754DDB"/>
    <w:rsid w:val="007568C8"/>
    <w:rsid w:val="00756972"/>
    <w:rsid w:val="00756A2E"/>
    <w:rsid w:val="00756D51"/>
    <w:rsid w:val="00757099"/>
    <w:rsid w:val="00757BA6"/>
    <w:rsid w:val="00760A34"/>
    <w:rsid w:val="00760C73"/>
    <w:rsid w:val="00760D44"/>
    <w:rsid w:val="00761151"/>
    <w:rsid w:val="00761532"/>
    <w:rsid w:val="00761CFD"/>
    <w:rsid w:val="00762105"/>
    <w:rsid w:val="00762406"/>
    <w:rsid w:val="007632E2"/>
    <w:rsid w:val="0076339B"/>
    <w:rsid w:val="00763665"/>
    <w:rsid w:val="00763A7C"/>
    <w:rsid w:val="00764136"/>
    <w:rsid w:val="00764F78"/>
    <w:rsid w:val="007651AF"/>
    <w:rsid w:val="0076615C"/>
    <w:rsid w:val="007661F5"/>
    <w:rsid w:val="007670E9"/>
    <w:rsid w:val="00767457"/>
    <w:rsid w:val="00767EBD"/>
    <w:rsid w:val="00770055"/>
    <w:rsid w:val="00770089"/>
    <w:rsid w:val="007700A3"/>
    <w:rsid w:val="007705FD"/>
    <w:rsid w:val="007706A5"/>
    <w:rsid w:val="00770FA6"/>
    <w:rsid w:val="00771197"/>
    <w:rsid w:val="00771373"/>
    <w:rsid w:val="00771417"/>
    <w:rsid w:val="0077163B"/>
    <w:rsid w:val="0077188E"/>
    <w:rsid w:val="00771DD7"/>
    <w:rsid w:val="00771ECE"/>
    <w:rsid w:val="0077276E"/>
    <w:rsid w:val="0077325D"/>
    <w:rsid w:val="00773671"/>
    <w:rsid w:val="0077386F"/>
    <w:rsid w:val="00773F3A"/>
    <w:rsid w:val="00774179"/>
    <w:rsid w:val="007746BE"/>
    <w:rsid w:val="0077569D"/>
    <w:rsid w:val="007759DD"/>
    <w:rsid w:val="007760FF"/>
    <w:rsid w:val="00776342"/>
    <w:rsid w:val="00776E47"/>
    <w:rsid w:val="00776EEB"/>
    <w:rsid w:val="007774B5"/>
    <w:rsid w:val="00777861"/>
    <w:rsid w:val="0077790D"/>
    <w:rsid w:val="00777E2F"/>
    <w:rsid w:val="007800AE"/>
    <w:rsid w:val="00781356"/>
    <w:rsid w:val="0078136C"/>
    <w:rsid w:val="007813C7"/>
    <w:rsid w:val="007825A9"/>
    <w:rsid w:val="007826F1"/>
    <w:rsid w:val="00782710"/>
    <w:rsid w:val="00782BDF"/>
    <w:rsid w:val="00782DE8"/>
    <w:rsid w:val="007830AF"/>
    <w:rsid w:val="0078334F"/>
    <w:rsid w:val="007837B5"/>
    <w:rsid w:val="007838C4"/>
    <w:rsid w:val="00783F2B"/>
    <w:rsid w:val="00784108"/>
    <w:rsid w:val="00784604"/>
    <w:rsid w:val="007847CE"/>
    <w:rsid w:val="0078481A"/>
    <w:rsid w:val="00784CD9"/>
    <w:rsid w:val="00784DAE"/>
    <w:rsid w:val="00785176"/>
    <w:rsid w:val="00785460"/>
    <w:rsid w:val="00785ADC"/>
    <w:rsid w:val="00785B9B"/>
    <w:rsid w:val="00787107"/>
    <w:rsid w:val="00787129"/>
    <w:rsid w:val="0078729D"/>
    <w:rsid w:val="00787318"/>
    <w:rsid w:val="007875F6"/>
    <w:rsid w:val="007879D4"/>
    <w:rsid w:val="007903A9"/>
    <w:rsid w:val="00790580"/>
    <w:rsid w:val="0079130C"/>
    <w:rsid w:val="007913C9"/>
    <w:rsid w:val="007922A6"/>
    <w:rsid w:val="0079240C"/>
    <w:rsid w:val="007925C0"/>
    <w:rsid w:val="00792CDE"/>
    <w:rsid w:val="00793720"/>
    <w:rsid w:val="00793CAC"/>
    <w:rsid w:val="00793CFD"/>
    <w:rsid w:val="00793FC3"/>
    <w:rsid w:val="007941D4"/>
    <w:rsid w:val="007946C0"/>
    <w:rsid w:val="007946FB"/>
    <w:rsid w:val="00794F40"/>
    <w:rsid w:val="00795150"/>
    <w:rsid w:val="007954C8"/>
    <w:rsid w:val="007955CA"/>
    <w:rsid w:val="007957F4"/>
    <w:rsid w:val="00795817"/>
    <w:rsid w:val="0079615B"/>
    <w:rsid w:val="00796C7C"/>
    <w:rsid w:val="00797F11"/>
    <w:rsid w:val="007A071B"/>
    <w:rsid w:val="007A0A77"/>
    <w:rsid w:val="007A1421"/>
    <w:rsid w:val="007A1DE4"/>
    <w:rsid w:val="007A2048"/>
    <w:rsid w:val="007A211D"/>
    <w:rsid w:val="007A22C2"/>
    <w:rsid w:val="007A25E0"/>
    <w:rsid w:val="007A276E"/>
    <w:rsid w:val="007A2DB4"/>
    <w:rsid w:val="007A3302"/>
    <w:rsid w:val="007A3335"/>
    <w:rsid w:val="007A36D1"/>
    <w:rsid w:val="007A39D8"/>
    <w:rsid w:val="007A3C41"/>
    <w:rsid w:val="007A3FA7"/>
    <w:rsid w:val="007A3FBE"/>
    <w:rsid w:val="007A41D6"/>
    <w:rsid w:val="007A4F0F"/>
    <w:rsid w:val="007A5A90"/>
    <w:rsid w:val="007A5B25"/>
    <w:rsid w:val="007A645A"/>
    <w:rsid w:val="007A69C3"/>
    <w:rsid w:val="007A6AA8"/>
    <w:rsid w:val="007A6D90"/>
    <w:rsid w:val="007A731A"/>
    <w:rsid w:val="007A7453"/>
    <w:rsid w:val="007A7B6E"/>
    <w:rsid w:val="007B0600"/>
    <w:rsid w:val="007B0801"/>
    <w:rsid w:val="007B0832"/>
    <w:rsid w:val="007B09DB"/>
    <w:rsid w:val="007B0B35"/>
    <w:rsid w:val="007B19AD"/>
    <w:rsid w:val="007B1D8A"/>
    <w:rsid w:val="007B1E09"/>
    <w:rsid w:val="007B2693"/>
    <w:rsid w:val="007B2F1E"/>
    <w:rsid w:val="007B342A"/>
    <w:rsid w:val="007B36E4"/>
    <w:rsid w:val="007B3B27"/>
    <w:rsid w:val="007B3FE2"/>
    <w:rsid w:val="007B4382"/>
    <w:rsid w:val="007B479F"/>
    <w:rsid w:val="007B494D"/>
    <w:rsid w:val="007B575F"/>
    <w:rsid w:val="007B5BFF"/>
    <w:rsid w:val="007B5F19"/>
    <w:rsid w:val="007B5F59"/>
    <w:rsid w:val="007B634F"/>
    <w:rsid w:val="007B63E1"/>
    <w:rsid w:val="007B6C56"/>
    <w:rsid w:val="007B73C6"/>
    <w:rsid w:val="007B7636"/>
    <w:rsid w:val="007B77EF"/>
    <w:rsid w:val="007B77F0"/>
    <w:rsid w:val="007C0053"/>
    <w:rsid w:val="007C0094"/>
    <w:rsid w:val="007C0E21"/>
    <w:rsid w:val="007C106E"/>
    <w:rsid w:val="007C10A5"/>
    <w:rsid w:val="007C132C"/>
    <w:rsid w:val="007C15FA"/>
    <w:rsid w:val="007C16EE"/>
    <w:rsid w:val="007C1AAA"/>
    <w:rsid w:val="007C1EA5"/>
    <w:rsid w:val="007C1EB6"/>
    <w:rsid w:val="007C1F49"/>
    <w:rsid w:val="007C2051"/>
    <w:rsid w:val="007C2737"/>
    <w:rsid w:val="007C2D3D"/>
    <w:rsid w:val="007C3144"/>
    <w:rsid w:val="007C377D"/>
    <w:rsid w:val="007C3946"/>
    <w:rsid w:val="007C3A57"/>
    <w:rsid w:val="007C41C5"/>
    <w:rsid w:val="007C468B"/>
    <w:rsid w:val="007C48F4"/>
    <w:rsid w:val="007C4F70"/>
    <w:rsid w:val="007C5232"/>
    <w:rsid w:val="007C595D"/>
    <w:rsid w:val="007C604A"/>
    <w:rsid w:val="007C60C0"/>
    <w:rsid w:val="007C6B2A"/>
    <w:rsid w:val="007C6CA9"/>
    <w:rsid w:val="007C6DA1"/>
    <w:rsid w:val="007C6DBE"/>
    <w:rsid w:val="007C73F9"/>
    <w:rsid w:val="007C7B90"/>
    <w:rsid w:val="007C7BF1"/>
    <w:rsid w:val="007D0482"/>
    <w:rsid w:val="007D081A"/>
    <w:rsid w:val="007D0A70"/>
    <w:rsid w:val="007D16A3"/>
    <w:rsid w:val="007D1E47"/>
    <w:rsid w:val="007D2AD4"/>
    <w:rsid w:val="007D3750"/>
    <w:rsid w:val="007D3BF2"/>
    <w:rsid w:val="007D468E"/>
    <w:rsid w:val="007D4BC3"/>
    <w:rsid w:val="007D4BF4"/>
    <w:rsid w:val="007D4DEF"/>
    <w:rsid w:val="007D4E9A"/>
    <w:rsid w:val="007D4EE1"/>
    <w:rsid w:val="007D59FB"/>
    <w:rsid w:val="007D619C"/>
    <w:rsid w:val="007D69A1"/>
    <w:rsid w:val="007D71AE"/>
    <w:rsid w:val="007D7461"/>
    <w:rsid w:val="007E04A0"/>
    <w:rsid w:val="007E0528"/>
    <w:rsid w:val="007E0534"/>
    <w:rsid w:val="007E06AE"/>
    <w:rsid w:val="007E08F6"/>
    <w:rsid w:val="007E12DC"/>
    <w:rsid w:val="007E1305"/>
    <w:rsid w:val="007E151A"/>
    <w:rsid w:val="007E161F"/>
    <w:rsid w:val="007E1B64"/>
    <w:rsid w:val="007E1CE1"/>
    <w:rsid w:val="007E1D00"/>
    <w:rsid w:val="007E1D34"/>
    <w:rsid w:val="007E1F52"/>
    <w:rsid w:val="007E2ABF"/>
    <w:rsid w:val="007E2C3A"/>
    <w:rsid w:val="007E2FF9"/>
    <w:rsid w:val="007E38D7"/>
    <w:rsid w:val="007E44A0"/>
    <w:rsid w:val="007E4C7E"/>
    <w:rsid w:val="007E4F7B"/>
    <w:rsid w:val="007E52AC"/>
    <w:rsid w:val="007E53C1"/>
    <w:rsid w:val="007E5A18"/>
    <w:rsid w:val="007E5A1C"/>
    <w:rsid w:val="007E60E9"/>
    <w:rsid w:val="007E676F"/>
    <w:rsid w:val="007E6851"/>
    <w:rsid w:val="007E7128"/>
    <w:rsid w:val="007E72ED"/>
    <w:rsid w:val="007F083E"/>
    <w:rsid w:val="007F10F4"/>
    <w:rsid w:val="007F193B"/>
    <w:rsid w:val="007F285D"/>
    <w:rsid w:val="007F2993"/>
    <w:rsid w:val="007F2C29"/>
    <w:rsid w:val="007F2CD7"/>
    <w:rsid w:val="007F34E8"/>
    <w:rsid w:val="007F40A6"/>
    <w:rsid w:val="007F42FD"/>
    <w:rsid w:val="007F4694"/>
    <w:rsid w:val="007F4AD9"/>
    <w:rsid w:val="007F5625"/>
    <w:rsid w:val="007F56F1"/>
    <w:rsid w:val="007F5DA9"/>
    <w:rsid w:val="007F6124"/>
    <w:rsid w:val="007F65C3"/>
    <w:rsid w:val="007F683C"/>
    <w:rsid w:val="007F7AF2"/>
    <w:rsid w:val="007F7DCC"/>
    <w:rsid w:val="00800AA6"/>
    <w:rsid w:val="008012A8"/>
    <w:rsid w:val="00801357"/>
    <w:rsid w:val="00801401"/>
    <w:rsid w:val="008019A6"/>
    <w:rsid w:val="00801FC1"/>
    <w:rsid w:val="00801FCE"/>
    <w:rsid w:val="00803C6A"/>
    <w:rsid w:val="00804356"/>
    <w:rsid w:val="008048DA"/>
    <w:rsid w:val="00804CEE"/>
    <w:rsid w:val="00804E70"/>
    <w:rsid w:val="0080589B"/>
    <w:rsid w:val="0080590B"/>
    <w:rsid w:val="008059CB"/>
    <w:rsid w:val="00805A29"/>
    <w:rsid w:val="00805F12"/>
    <w:rsid w:val="00805FC9"/>
    <w:rsid w:val="00806A5D"/>
    <w:rsid w:val="0080705B"/>
    <w:rsid w:val="00807083"/>
    <w:rsid w:val="0080742D"/>
    <w:rsid w:val="00807F10"/>
    <w:rsid w:val="00807F9F"/>
    <w:rsid w:val="00810302"/>
    <w:rsid w:val="0081087D"/>
    <w:rsid w:val="0081140B"/>
    <w:rsid w:val="008115BB"/>
    <w:rsid w:val="008117DB"/>
    <w:rsid w:val="00811FA5"/>
    <w:rsid w:val="0081212B"/>
    <w:rsid w:val="00812566"/>
    <w:rsid w:val="00812A29"/>
    <w:rsid w:val="00812A8B"/>
    <w:rsid w:val="008137C1"/>
    <w:rsid w:val="00813F2A"/>
    <w:rsid w:val="0081409C"/>
    <w:rsid w:val="00814295"/>
    <w:rsid w:val="008143AB"/>
    <w:rsid w:val="00814616"/>
    <w:rsid w:val="00814A55"/>
    <w:rsid w:val="00814EFD"/>
    <w:rsid w:val="00814FCE"/>
    <w:rsid w:val="00814FF4"/>
    <w:rsid w:val="0081554B"/>
    <w:rsid w:val="008155C2"/>
    <w:rsid w:val="00815EAA"/>
    <w:rsid w:val="00815F0A"/>
    <w:rsid w:val="00816699"/>
    <w:rsid w:val="00816AA8"/>
    <w:rsid w:val="00817343"/>
    <w:rsid w:val="008203B6"/>
    <w:rsid w:val="008211E5"/>
    <w:rsid w:val="008212BF"/>
    <w:rsid w:val="008213FD"/>
    <w:rsid w:val="008214A9"/>
    <w:rsid w:val="0082181F"/>
    <w:rsid w:val="00821BF8"/>
    <w:rsid w:val="00822492"/>
    <w:rsid w:val="0082262D"/>
    <w:rsid w:val="00822826"/>
    <w:rsid w:val="008228E6"/>
    <w:rsid w:val="00822B08"/>
    <w:rsid w:val="00822E85"/>
    <w:rsid w:val="008234CF"/>
    <w:rsid w:val="008235CD"/>
    <w:rsid w:val="0082375B"/>
    <w:rsid w:val="00823BFB"/>
    <w:rsid w:val="00823E39"/>
    <w:rsid w:val="00823F86"/>
    <w:rsid w:val="00824318"/>
    <w:rsid w:val="0082431D"/>
    <w:rsid w:val="008249AA"/>
    <w:rsid w:val="00824A39"/>
    <w:rsid w:val="00825132"/>
    <w:rsid w:val="00825AD2"/>
    <w:rsid w:val="00825DEF"/>
    <w:rsid w:val="008263F9"/>
    <w:rsid w:val="00826FA1"/>
    <w:rsid w:val="00827002"/>
    <w:rsid w:val="00827783"/>
    <w:rsid w:val="0083088D"/>
    <w:rsid w:val="00830FB6"/>
    <w:rsid w:val="008314F3"/>
    <w:rsid w:val="00831687"/>
    <w:rsid w:val="00831D6F"/>
    <w:rsid w:val="00831D91"/>
    <w:rsid w:val="00831DB4"/>
    <w:rsid w:val="00831E28"/>
    <w:rsid w:val="00832148"/>
    <w:rsid w:val="00832288"/>
    <w:rsid w:val="008327AD"/>
    <w:rsid w:val="008330B0"/>
    <w:rsid w:val="0083348A"/>
    <w:rsid w:val="00833674"/>
    <w:rsid w:val="0083369E"/>
    <w:rsid w:val="0083398F"/>
    <w:rsid w:val="00833AAA"/>
    <w:rsid w:val="00833E93"/>
    <w:rsid w:val="00834512"/>
    <w:rsid w:val="00834B72"/>
    <w:rsid w:val="0083555A"/>
    <w:rsid w:val="00835A67"/>
    <w:rsid w:val="00836D90"/>
    <w:rsid w:val="00836DBD"/>
    <w:rsid w:val="00836E66"/>
    <w:rsid w:val="00836F79"/>
    <w:rsid w:val="0083714A"/>
    <w:rsid w:val="008377D1"/>
    <w:rsid w:val="008378A5"/>
    <w:rsid w:val="00837D80"/>
    <w:rsid w:val="0084118C"/>
    <w:rsid w:val="008419D1"/>
    <w:rsid w:val="00841A8A"/>
    <w:rsid w:val="00841C0C"/>
    <w:rsid w:val="00841EFC"/>
    <w:rsid w:val="00841F07"/>
    <w:rsid w:val="00842622"/>
    <w:rsid w:val="00842BA5"/>
    <w:rsid w:val="00842D32"/>
    <w:rsid w:val="00842F79"/>
    <w:rsid w:val="008432CF"/>
    <w:rsid w:val="00843420"/>
    <w:rsid w:val="008444B9"/>
    <w:rsid w:val="0084479C"/>
    <w:rsid w:val="00844A0A"/>
    <w:rsid w:val="00844BC9"/>
    <w:rsid w:val="00845037"/>
    <w:rsid w:val="00845428"/>
    <w:rsid w:val="00845466"/>
    <w:rsid w:val="0084566B"/>
    <w:rsid w:val="00845D79"/>
    <w:rsid w:val="00846429"/>
    <w:rsid w:val="008469D5"/>
    <w:rsid w:val="00846D6C"/>
    <w:rsid w:val="00847B8F"/>
    <w:rsid w:val="00847C40"/>
    <w:rsid w:val="00847CE7"/>
    <w:rsid w:val="00847CE9"/>
    <w:rsid w:val="00847D5A"/>
    <w:rsid w:val="00850873"/>
    <w:rsid w:val="0085093C"/>
    <w:rsid w:val="00850D52"/>
    <w:rsid w:val="00851165"/>
    <w:rsid w:val="00851175"/>
    <w:rsid w:val="008512F4"/>
    <w:rsid w:val="0085133B"/>
    <w:rsid w:val="00851AA9"/>
    <w:rsid w:val="0085296E"/>
    <w:rsid w:val="00852A46"/>
    <w:rsid w:val="0085387C"/>
    <w:rsid w:val="008539A5"/>
    <w:rsid w:val="00853B1F"/>
    <w:rsid w:val="00853CB8"/>
    <w:rsid w:val="0085448C"/>
    <w:rsid w:val="008546E8"/>
    <w:rsid w:val="008547BD"/>
    <w:rsid w:val="00855FCB"/>
    <w:rsid w:val="00855FD4"/>
    <w:rsid w:val="008560F3"/>
    <w:rsid w:val="00856D41"/>
    <w:rsid w:val="00857586"/>
    <w:rsid w:val="008575EE"/>
    <w:rsid w:val="00857AD2"/>
    <w:rsid w:val="00857B74"/>
    <w:rsid w:val="0086044E"/>
    <w:rsid w:val="00860714"/>
    <w:rsid w:val="008609E4"/>
    <w:rsid w:val="00860CC5"/>
    <w:rsid w:val="008610D1"/>
    <w:rsid w:val="008615B8"/>
    <w:rsid w:val="0086161A"/>
    <w:rsid w:val="00861B3C"/>
    <w:rsid w:val="00861BB9"/>
    <w:rsid w:val="00861C2F"/>
    <w:rsid w:val="0086218E"/>
    <w:rsid w:val="0086255C"/>
    <w:rsid w:val="00863008"/>
    <w:rsid w:val="008630C8"/>
    <w:rsid w:val="008632F0"/>
    <w:rsid w:val="008633E5"/>
    <w:rsid w:val="008637BA"/>
    <w:rsid w:val="008639C4"/>
    <w:rsid w:val="00863A36"/>
    <w:rsid w:val="00863C2F"/>
    <w:rsid w:val="008641A3"/>
    <w:rsid w:val="00865355"/>
    <w:rsid w:val="00865588"/>
    <w:rsid w:val="00866887"/>
    <w:rsid w:val="00866A4E"/>
    <w:rsid w:val="008672A0"/>
    <w:rsid w:val="00870651"/>
    <w:rsid w:val="008707D8"/>
    <w:rsid w:val="00870B91"/>
    <w:rsid w:val="00871394"/>
    <w:rsid w:val="00871497"/>
    <w:rsid w:val="0087198C"/>
    <w:rsid w:val="00871E08"/>
    <w:rsid w:val="008722B3"/>
    <w:rsid w:val="00872BA5"/>
    <w:rsid w:val="00872BE4"/>
    <w:rsid w:val="00873D85"/>
    <w:rsid w:val="008742B2"/>
    <w:rsid w:val="0087446D"/>
    <w:rsid w:val="008750FF"/>
    <w:rsid w:val="0087550A"/>
    <w:rsid w:val="0087640F"/>
    <w:rsid w:val="0087668F"/>
    <w:rsid w:val="00876A63"/>
    <w:rsid w:val="008774BE"/>
    <w:rsid w:val="0087784C"/>
    <w:rsid w:val="00877B83"/>
    <w:rsid w:val="00877D91"/>
    <w:rsid w:val="0088061F"/>
    <w:rsid w:val="0088086D"/>
    <w:rsid w:val="00880C59"/>
    <w:rsid w:val="00880D3F"/>
    <w:rsid w:val="00880E9F"/>
    <w:rsid w:val="0088123E"/>
    <w:rsid w:val="00881387"/>
    <w:rsid w:val="008813AD"/>
    <w:rsid w:val="0088164A"/>
    <w:rsid w:val="008819C2"/>
    <w:rsid w:val="00881D8A"/>
    <w:rsid w:val="00882274"/>
    <w:rsid w:val="0088265A"/>
    <w:rsid w:val="00882AC6"/>
    <w:rsid w:val="00882BC7"/>
    <w:rsid w:val="00883468"/>
    <w:rsid w:val="0088378A"/>
    <w:rsid w:val="00883846"/>
    <w:rsid w:val="00883D2A"/>
    <w:rsid w:val="008842FA"/>
    <w:rsid w:val="00884635"/>
    <w:rsid w:val="00884953"/>
    <w:rsid w:val="00885044"/>
    <w:rsid w:val="00885612"/>
    <w:rsid w:val="00885C4F"/>
    <w:rsid w:val="00885C79"/>
    <w:rsid w:val="00886035"/>
    <w:rsid w:val="00886578"/>
    <w:rsid w:val="0088659E"/>
    <w:rsid w:val="008866E2"/>
    <w:rsid w:val="008866ED"/>
    <w:rsid w:val="00886862"/>
    <w:rsid w:val="008868BE"/>
    <w:rsid w:val="00886ABE"/>
    <w:rsid w:val="008870A5"/>
    <w:rsid w:val="008871B9"/>
    <w:rsid w:val="008872F0"/>
    <w:rsid w:val="00887A1E"/>
    <w:rsid w:val="00887AA9"/>
    <w:rsid w:val="00887DDF"/>
    <w:rsid w:val="00890568"/>
    <w:rsid w:val="00890A69"/>
    <w:rsid w:val="00891772"/>
    <w:rsid w:val="00891A0F"/>
    <w:rsid w:val="00891B45"/>
    <w:rsid w:val="00892A82"/>
    <w:rsid w:val="00892DCB"/>
    <w:rsid w:val="00893297"/>
    <w:rsid w:val="00893380"/>
    <w:rsid w:val="00893DD3"/>
    <w:rsid w:val="0089402B"/>
    <w:rsid w:val="0089482E"/>
    <w:rsid w:val="008948C0"/>
    <w:rsid w:val="00894BBD"/>
    <w:rsid w:val="008953D3"/>
    <w:rsid w:val="00895478"/>
    <w:rsid w:val="00895A1E"/>
    <w:rsid w:val="00895CA4"/>
    <w:rsid w:val="00895DE8"/>
    <w:rsid w:val="008960EA"/>
    <w:rsid w:val="008965C9"/>
    <w:rsid w:val="00897297"/>
    <w:rsid w:val="00897620"/>
    <w:rsid w:val="008977EA"/>
    <w:rsid w:val="00897C71"/>
    <w:rsid w:val="008A14F8"/>
    <w:rsid w:val="008A1C67"/>
    <w:rsid w:val="008A1FE1"/>
    <w:rsid w:val="008A21D3"/>
    <w:rsid w:val="008A2876"/>
    <w:rsid w:val="008A2A1F"/>
    <w:rsid w:val="008A2B10"/>
    <w:rsid w:val="008A2ECB"/>
    <w:rsid w:val="008A39AE"/>
    <w:rsid w:val="008A3F87"/>
    <w:rsid w:val="008A4579"/>
    <w:rsid w:val="008A47E1"/>
    <w:rsid w:val="008A4954"/>
    <w:rsid w:val="008A5407"/>
    <w:rsid w:val="008A54B4"/>
    <w:rsid w:val="008A54EB"/>
    <w:rsid w:val="008A556E"/>
    <w:rsid w:val="008A55E8"/>
    <w:rsid w:val="008A6168"/>
    <w:rsid w:val="008A63AB"/>
    <w:rsid w:val="008A63CB"/>
    <w:rsid w:val="008A6717"/>
    <w:rsid w:val="008A6B28"/>
    <w:rsid w:val="008A6B4F"/>
    <w:rsid w:val="008A6CFF"/>
    <w:rsid w:val="008A71B5"/>
    <w:rsid w:val="008A77CC"/>
    <w:rsid w:val="008A7ADF"/>
    <w:rsid w:val="008A7DED"/>
    <w:rsid w:val="008B00C0"/>
    <w:rsid w:val="008B0716"/>
    <w:rsid w:val="008B0F3C"/>
    <w:rsid w:val="008B0FD9"/>
    <w:rsid w:val="008B0FFC"/>
    <w:rsid w:val="008B10B0"/>
    <w:rsid w:val="008B131F"/>
    <w:rsid w:val="008B18EE"/>
    <w:rsid w:val="008B1D01"/>
    <w:rsid w:val="008B2859"/>
    <w:rsid w:val="008B2967"/>
    <w:rsid w:val="008B30B3"/>
    <w:rsid w:val="008B3842"/>
    <w:rsid w:val="008B3E85"/>
    <w:rsid w:val="008B431C"/>
    <w:rsid w:val="008B44FD"/>
    <w:rsid w:val="008B4529"/>
    <w:rsid w:val="008B46ED"/>
    <w:rsid w:val="008B4991"/>
    <w:rsid w:val="008B4C07"/>
    <w:rsid w:val="008B4F80"/>
    <w:rsid w:val="008B4F8C"/>
    <w:rsid w:val="008B52A7"/>
    <w:rsid w:val="008B5B07"/>
    <w:rsid w:val="008B5B94"/>
    <w:rsid w:val="008B5F15"/>
    <w:rsid w:val="008B61E2"/>
    <w:rsid w:val="008B6503"/>
    <w:rsid w:val="008B670B"/>
    <w:rsid w:val="008B6ACC"/>
    <w:rsid w:val="008B756E"/>
    <w:rsid w:val="008B7708"/>
    <w:rsid w:val="008B7CCA"/>
    <w:rsid w:val="008C04B5"/>
    <w:rsid w:val="008C090F"/>
    <w:rsid w:val="008C0911"/>
    <w:rsid w:val="008C0A1D"/>
    <w:rsid w:val="008C1078"/>
    <w:rsid w:val="008C1881"/>
    <w:rsid w:val="008C1AD5"/>
    <w:rsid w:val="008C2F60"/>
    <w:rsid w:val="008C3636"/>
    <w:rsid w:val="008C4BDC"/>
    <w:rsid w:val="008C56D0"/>
    <w:rsid w:val="008C5C50"/>
    <w:rsid w:val="008C71A7"/>
    <w:rsid w:val="008D02CB"/>
    <w:rsid w:val="008D0596"/>
    <w:rsid w:val="008D0868"/>
    <w:rsid w:val="008D0D33"/>
    <w:rsid w:val="008D0F52"/>
    <w:rsid w:val="008D1592"/>
    <w:rsid w:val="008D1707"/>
    <w:rsid w:val="008D1765"/>
    <w:rsid w:val="008D1C13"/>
    <w:rsid w:val="008D1D6F"/>
    <w:rsid w:val="008D1DE0"/>
    <w:rsid w:val="008D1FF3"/>
    <w:rsid w:val="008D2492"/>
    <w:rsid w:val="008D2682"/>
    <w:rsid w:val="008D37CC"/>
    <w:rsid w:val="008D4015"/>
    <w:rsid w:val="008D430D"/>
    <w:rsid w:val="008D47E9"/>
    <w:rsid w:val="008D50AE"/>
    <w:rsid w:val="008D513A"/>
    <w:rsid w:val="008D67DB"/>
    <w:rsid w:val="008D6A81"/>
    <w:rsid w:val="008D7842"/>
    <w:rsid w:val="008D7D44"/>
    <w:rsid w:val="008E077E"/>
    <w:rsid w:val="008E0A5D"/>
    <w:rsid w:val="008E1713"/>
    <w:rsid w:val="008E1DF8"/>
    <w:rsid w:val="008E2121"/>
    <w:rsid w:val="008E261D"/>
    <w:rsid w:val="008E274C"/>
    <w:rsid w:val="008E29A9"/>
    <w:rsid w:val="008E2DA1"/>
    <w:rsid w:val="008E343B"/>
    <w:rsid w:val="008E3595"/>
    <w:rsid w:val="008E37A1"/>
    <w:rsid w:val="008E3D18"/>
    <w:rsid w:val="008E4238"/>
    <w:rsid w:val="008E4F36"/>
    <w:rsid w:val="008E599F"/>
    <w:rsid w:val="008E5DB1"/>
    <w:rsid w:val="008E5EF2"/>
    <w:rsid w:val="008E61A5"/>
    <w:rsid w:val="008E62F8"/>
    <w:rsid w:val="008E6A69"/>
    <w:rsid w:val="008E747C"/>
    <w:rsid w:val="008E7584"/>
    <w:rsid w:val="008E7BB1"/>
    <w:rsid w:val="008E7BE6"/>
    <w:rsid w:val="008E7E0D"/>
    <w:rsid w:val="008F0033"/>
    <w:rsid w:val="008F00F9"/>
    <w:rsid w:val="008F06A9"/>
    <w:rsid w:val="008F1106"/>
    <w:rsid w:val="008F1184"/>
    <w:rsid w:val="008F1B16"/>
    <w:rsid w:val="008F1BD1"/>
    <w:rsid w:val="008F1BEC"/>
    <w:rsid w:val="008F1C03"/>
    <w:rsid w:val="008F1EDF"/>
    <w:rsid w:val="008F2841"/>
    <w:rsid w:val="008F2CB3"/>
    <w:rsid w:val="008F2CF5"/>
    <w:rsid w:val="008F2DF4"/>
    <w:rsid w:val="008F3381"/>
    <w:rsid w:val="008F3481"/>
    <w:rsid w:val="008F3BCF"/>
    <w:rsid w:val="008F3DDD"/>
    <w:rsid w:val="008F46EE"/>
    <w:rsid w:val="008F5F7F"/>
    <w:rsid w:val="008F6009"/>
    <w:rsid w:val="008F6CB5"/>
    <w:rsid w:val="008F6EB2"/>
    <w:rsid w:val="008F6FE3"/>
    <w:rsid w:val="008F7AAC"/>
    <w:rsid w:val="0090009A"/>
    <w:rsid w:val="009006CB"/>
    <w:rsid w:val="0090141A"/>
    <w:rsid w:val="00901521"/>
    <w:rsid w:val="009016C6"/>
    <w:rsid w:val="00901E87"/>
    <w:rsid w:val="00901F26"/>
    <w:rsid w:val="009021E8"/>
    <w:rsid w:val="0090258D"/>
    <w:rsid w:val="009027C2"/>
    <w:rsid w:val="00902AE7"/>
    <w:rsid w:val="009038FF"/>
    <w:rsid w:val="00903C31"/>
    <w:rsid w:val="00903E77"/>
    <w:rsid w:val="009045AA"/>
    <w:rsid w:val="00904907"/>
    <w:rsid w:val="00904950"/>
    <w:rsid w:val="00904C33"/>
    <w:rsid w:val="00905233"/>
    <w:rsid w:val="009054A6"/>
    <w:rsid w:val="00905B55"/>
    <w:rsid w:val="00906C1F"/>
    <w:rsid w:val="009071A0"/>
    <w:rsid w:val="00907680"/>
    <w:rsid w:val="009077CB"/>
    <w:rsid w:val="00907BD2"/>
    <w:rsid w:val="00907C3A"/>
    <w:rsid w:val="00907CD9"/>
    <w:rsid w:val="00907D5A"/>
    <w:rsid w:val="009104A2"/>
    <w:rsid w:val="00910553"/>
    <w:rsid w:val="00910C8C"/>
    <w:rsid w:val="00910ED4"/>
    <w:rsid w:val="00911184"/>
    <w:rsid w:val="009117F5"/>
    <w:rsid w:val="009120F7"/>
    <w:rsid w:val="00912372"/>
    <w:rsid w:val="0091276F"/>
    <w:rsid w:val="00912BB1"/>
    <w:rsid w:val="0091302A"/>
    <w:rsid w:val="0091361E"/>
    <w:rsid w:val="00913A02"/>
    <w:rsid w:val="00913E7F"/>
    <w:rsid w:val="00913FBB"/>
    <w:rsid w:val="00913FCC"/>
    <w:rsid w:val="009143FF"/>
    <w:rsid w:val="009152BF"/>
    <w:rsid w:val="00915E5B"/>
    <w:rsid w:val="00915F25"/>
    <w:rsid w:val="009163C9"/>
    <w:rsid w:val="009168AE"/>
    <w:rsid w:val="00916967"/>
    <w:rsid w:val="00917DFD"/>
    <w:rsid w:val="00920123"/>
    <w:rsid w:val="00920541"/>
    <w:rsid w:val="00920C80"/>
    <w:rsid w:val="00920E25"/>
    <w:rsid w:val="00921275"/>
    <w:rsid w:val="0092158D"/>
    <w:rsid w:val="0092188C"/>
    <w:rsid w:val="009218DF"/>
    <w:rsid w:val="0092220C"/>
    <w:rsid w:val="0092404C"/>
    <w:rsid w:val="00924594"/>
    <w:rsid w:val="00924627"/>
    <w:rsid w:val="0092484A"/>
    <w:rsid w:val="0092490C"/>
    <w:rsid w:val="00924919"/>
    <w:rsid w:val="00925125"/>
    <w:rsid w:val="009252A9"/>
    <w:rsid w:val="009253D3"/>
    <w:rsid w:val="009259DC"/>
    <w:rsid w:val="00925E17"/>
    <w:rsid w:val="00925FEC"/>
    <w:rsid w:val="00926160"/>
    <w:rsid w:val="0092647E"/>
    <w:rsid w:val="009264B1"/>
    <w:rsid w:val="009266CB"/>
    <w:rsid w:val="00926C5E"/>
    <w:rsid w:val="009274C2"/>
    <w:rsid w:val="0092784B"/>
    <w:rsid w:val="00927934"/>
    <w:rsid w:val="00927F6C"/>
    <w:rsid w:val="00930133"/>
    <w:rsid w:val="00930A02"/>
    <w:rsid w:val="00930D13"/>
    <w:rsid w:val="009313F7"/>
    <w:rsid w:val="00931404"/>
    <w:rsid w:val="009317E9"/>
    <w:rsid w:val="0093229C"/>
    <w:rsid w:val="00932803"/>
    <w:rsid w:val="00932D0C"/>
    <w:rsid w:val="00933016"/>
    <w:rsid w:val="00934104"/>
    <w:rsid w:val="009348F2"/>
    <w:rsid w:val="00934971"/>
    <w:rsid w:val="00936212"/>
    <w:rsid w:val="00936342"/>
    <w:rsid w:val="00936649"/>
    <w:rsid w:val="009367B7"/>
    <w:rsid w:val="00936CE7"/>
    <w:rsid w:val="009371DC"/>
    <w:rsid w:val="00937EB2"/>
    <w:rsid w:val="009401AB"/>
    <w:rsid w:val="00940255"/>
    <w:rsid w:val="0094048F"/>
    <w:rsid w:val="00940668"/>
    <w:rsid w:val="00940FF0"/>
    <w:rsid w:val="00941223"/>
    <w:rsid w:val="00941A75"/>
    <w:rsid w:val="00941F98"/>
    <w:rsid w:val="00942ECB"/>
    <w:rsid w:val="009431F3"/>
    <w:rsid w:val="009436BF"/>
    <w:rsid w:val="00943DD3"/>
    <w:rsid w:val="00944298"/>
    <w:rsid w:val="0094496F"/>
    <w:rsid w:val="00944E46"/>
    <w:rsid w:val="00945464"/>
    <w:rsid w:val="0094584B"/>
    <w:rsid w:val="00945CCD"/>
    <w:rsid w:val="00945CE0"/>
    <w:rsid w:val="0094678D"/>
    <w:rsid w:val="00946A4A"/>
    <w:rsid w:val="00946D85"/>
    <w:rsid w:val="009475C5"/>
    <w:rsid w:val="00947889"/>
    <w:rsid w:val="00947F02"/>
    <w:rsid w:val="0095015E"/>
    <w:rsid w:val="00950547"/>
    <w:rsid w:val="009506BA"/>
    <w:rsid w:val="00950FBA"/>
    <w:rsid w:val="00951284"/>
    <w:rsid w:val="00951673"/>
    <w:rsid w:val="00951EE4"/>
    <w:rsid w:val="00951F51"/>
    <w:rsid w:val="009520E8"/>
    <w:rsid w:val="009522AE"/>
    <w:rsid w:val="00952AEC"/>
    <w:rsid w:val="00952C24"/>
    <w:rsid w:val="0095317D"/>
    <w:rsid w:val="009537D1"/>
    <w:rsid w:val="009538B5"/>
    <w:rsid w:val="00953AAD"/>
    <w:rsid w:val="00953FF9"/>
    <w:rsid w:val="00954898"/>
    <w:rsid w:val="00954D4A"/>
    <w:rsid w:val="009550D3"/>
    <w:rsid w:val="009552D0"/>
    <w:rsid w:val="00955534"/>
    <w:rsid w:val="009556C7"/>
    <w:rsid w:val="0095576A"/>
    <w:rsid w:val="00955D51"/>
    <w:rsid w:val="00955F37"/>
    <w:rsid w:val="009560AF"/>
    <w:rsid w:val="0095676A"/>
    <w:rsid w:val="00957402"/>
    <w:rsid w:val="009577B4"/>
    <w:rsid w:val="00957F6D"/>
    <w:rsid w:val="00961036"/>
    <w:rsid w:val="00961229"/>
    <w:rsid w:val="009612F6"/>
    <w:rsid w:val="009616E6"/>
    <w:rsid w:val="009619F6"/>
    <w:rsid w:val="009621D8"/>
    <w:rsid w:val="0096267C"/>
    <w:rsid w:val="00962B96"/>
    <w:rsid w:val="009638FD"/>
    <w:rsid w:val="00963B35"/>
    <w:rsid w:val="00963D1D"/>
    <w:rsid w:val="00963EF3"/>
    <w:rsid w:val="009645ED"/>
    <w:rsid w:val="00964A04"/>
    <w:rsid w:val="00964A57"/>
    <w:rsid w:val="009654B1"/>
    <w:rsid w:val="0096575B"/>
    <w:rsid w:val="009659B4"/>
    <w:rsid w:val="0096641B"/>
    <w:rsid w:val="00966601"/>
    <w:rsid w:val="0096689B"/>
    <w:rsid w:val="00966A80"/>
    <w:rsid w:val="00966B7A"/>
    <w:rsid w:val="00966B7C"/>
    <w:rsid w:val="00967727"/>
    <w:rsid w:val="00967894"/>
    <w:rsid w:val="00967D7D"/>
    <w:rsid w:val="00967FE6"/>
    <w:rsid w:val="009701A4"/>
    <w:rsid w:val="00970C36"/>
    <w:rsid w:val="00970E1B"/>
    <w:rsid w:val="00971DF3"/>
    <w:rsid w:val="00972849"/>
    <w:rsid w:val="0097297E"/>
    <w:rsid w:val="00972C77"/>
    <w:rsid w:val="00972F47"/>
    <w:rsid w:val="00973502"/>
    <w:rsid w:val="00973D62"/>
    <w:rsid w:val="0097484A"/>
    <w:rsid w:val="00974AC6"/>
    <w:rsid w:val="00974FB9"/>
    <w:rsid w:val="0097515D"/>
    <w:rsid w:val="00975399"/>
    <w:rsid w:val="00975687"/>
    <w:rsid w:val="009757AF"/>
    <w:rsid w:val="00975DB8"/>
    <w:rsid w:val="00975E40"/>
    <w:rsid w:val="00975F8A"/>
    <w:rsid w:val="009761E6"/>
    <w:rsid w:val="00976567"/>
    <w:rsid w:val="00977124"/>
    <w:rsid w:val="00977172"/>
    <w:rsid w:val="0097734F"/>
    <w:rsid w:val="00977451"/>
    <w:rsid w:val="00977806"/>
    <w:rsid w:val="00977942"/>
    <w:rsid w:val="00977B80"/>
    <w:rsid w:val="00977DB2"/>
    <w:rsid w:val="009800E0"/>
    <w:rsid w:val="00980361"/>
    <w:rsid w:val="0098075B"/>
    <w:rsid w:val="00981242"/>
    <w:rsid w:val="0098150D"/>
    <w:rsid w:val="009816F9"/>
    <w:rsid w:val="00981B78"/>
    <w:rsid w:val="009820A3"/>
    <w:rsid w:val="00982529"/>
    <w:rsid w:val="00982A2F"/>
    <w:rsid w:val="00982BCC"/>
    <w:rsid w:val="009836D0"/>
    <w:rsid w:val="009848DE"/>
    <w:rsid w:val="00984A2B"/>
    <w:rsid w:val="00985171"/>
    <w:rsid w:val="0098522D"/>
    <w:rsid w:val="009852E4"/>
    <w:rsid w:val="0098554C"/>
    <w:rsid w:val="0098578C"/>
    <w:rsid w:val="00985798"/>
    <w:rsid w:val="00986030"/>
    <w:rsid w:val="009863F6"/>
    <w:rsid w:val="00986577"/>
    <w:rsid w:val="009866DF"/>
    <w:rsid w:val="0098685B"/>
    <w:rsid w:val="0098694E"/>
    <w:rsid w:val="00986C49"/>
    <w:rsid w:val="00986E3F"/>
    <w:rsid w:val="00987C85"/>
    <w:rsid w:val="00987F64"/>
    <w:rsid w:val="0099009C"/>
    <w:rsid w:val="00990470"/>
    <w:rsid w:val="009911A5"/>
    <w:rsid w:val="0099215D"/>
    <w:rsid w:val="009921F2"/>
    <w:rsid w:val="009926E5"/>
    <w:rsid w:val="00992A17"/>
    <w:rsid w:val="00992C1B"/>
    <w:rsid w:val="00993665"/>
    <w:rsid w:val="009936DE"/>
    <w:rsid w:val="00993773"/>
    <w:rsid w:val="009940FF"/>
    <w:rsid w:val="0099469A"/>
    <w:rsid w:val="00994B6C"/>
    <w:rsid w:val="00995288"/>
    <w:rsid w:val="00995BAC"/>
    <w:rsid w:val="00995CAE"/>
    <w:rsid w:val="00996725"/>
    <w:rsid w:val="0099672A"/>
    <w:rsid w:val="009970B9"/>
    <w:rsid w:val="00997B30"/>
    <w:rsid w:val="00997BF7"/>
    <w:rsid w:val="00997E23"/>
    <w:rsid w:val="009A00EC"/>
    <w:rsid w:val="009A011C"/>
    <w:rsid w:val="009A0E18"/>
    <w:rsid w:val="009A0FDA"/>
    <w:rsid w:val="009A124B"/>
    <w:rsid w:val="009A1504"/>
    <w:rsid w:val="009A1B28"/>
    <w:rsid w:val="009A28DD"/>
    <w:rsid w:val="009A2C39"/>
    <w:rsid w:val="009A2C96"/>
    <w:rsid w:val="009A2D91"/>
    <w:rsid w:val="009A2FFC"/>
    <w:rsid w:val="009A31F0"/>
    <w:rsid w:val="009A34B4"/>
    <w:rsid w:val="009A3F69"/>
    <w:rsid w:val="009A3FF5"/>
    <w:rsid w:val="009A4455"/>
    <w:rsid w:val="009A4575"/>
    <w:rsid w:val="009A46FD"/>
    <w:rsid w:val="009A47CF"/>
    <w:rsid w:val="009A48CC"/>
    <w:rsid w:val="009A4BD8"/>
    <w:rsid w:val="009A5117"/>
    <w:rsid w:val="009A56DF"/>
    <w:rsid w:val="009A570F"/>
    <w:rsid w:val="009A60B3"/>
    <w:rsid w:val="009A6628"/>
    <w:rsid w:val="009A6F9B"/>
    <w:rsid w:val="009B0037"/>
    <w:rsid w:val="009B0450"/>
    <w:rsid w:val="009B04AB"/>
    <w:rsid w:val="009B1600"/>
    <w:rsid w:val="009B1630"/>
    <w:rsid w:val="009B1A3C"/>
    <w:rsid w:val="009B1A4C"/>
    <w:rsid w:val="009B2757"/>
    <w:rsid w:val="009B29E9"/>
    <w:rsid w:val="009B2B0D"/>
    <w:rsid w:val="009B2F38"/>
    <w:rsid w:val="009B3390"/>
    <w:rsid w:val="009B33E4"/>
    <w:rsid w:val="009B3745"/>
    <w:rsid w:val="009B4335"/>
    <w:rsid w:val="009B4CC3"/>
    <w:rsid w:val="009B4DE6"/>
    <w:rsid w:val="009B5378"/>
    <w:rsid w:val="009B58AB"/>
    <w:rsid w:val="009B5EF5"/>
    <w:rsid w:val="009B6779"/>
    <w:rsid w:val="009B734B"/>
    <w:rsid w:val="009B74D2"/>
    <w:rsid w:val="009B7EC7"/>
    <w:rsid w:val="009C06CA"/>
    <w:rsid w:val="009C0A54"/>
    <w:rsid w:val="009C0B30"/>
    <w:rsid w:val="009C0C8C"/>
    <w:rsid w:val="009C1409"/>
    <w:rsid w:val="009C1692"/>
    <w:rsid w:val="009C192E"/>
    <w:rsid w:val="009C4C0F"/>
    <w:rsid w:val="009C552B"/>
    <w:rsid w:val="009C560C"/>
    <w:rsid w:val="009C6B8F"/>
    <w:rsid w:val="009C6D7E"/>
    <w:rsid w:val="009C6DA9"/>
    <w:rsid w:val="009C7A18"/>
    <w:rsid w:val="009C7D16"/>
    <w:rsid w:val="009C7D2E"/>
    <w:rsid w:val="009C7F31"/>
    <w:rsid w:val="009C7F8C"/>
    <w:rsid w:val="009D0AFD"/>
    <w:rsid w:val="009D2987"/>
    <w:rsid w:val="009D29A5"/>
    <w:rsid w:val="009D2C34"/>
    <w:rsid w:val="009D3664"/>
    <w:rsid w:val="009D3F0F"/>
    <w:rsid w:val="009D43E3"/>
    <w:rsid w:val="009D4B4D"/>
    <w:rsid w:val="009D500C"/>
    <w:rsid w:val="009D59B0"/>
    <w:rsid w:val="009D5CB5"/>
    <w:rsid w:val="009D5D63"/>
    <w:rsid w:val="009D670A"/>
    <w:rsid w:val="009D6726"/>
    <w:rsid w:val="009D6AC2"/>
    <w:rsid w:val="009D70C9"/>
    <w:rsid w:val="009D743B"/>
    <w:rsid w:val="009D76E7"/>
    <w:rsid w:val="009D7D89"/>
    <w:rsid w:val="009E0CB7"/>
    <w:rsid w:val="009E13E5"/>
    <w:rsid w:val="009E16F1"/>
    <w:rsid w:val="009E177B"/>
    <w:rsid w:val="009E177D"/>
    <w:rsid w:val="009E1A5D"/>
    <w:rsid w:val="009E1A98"/>
    <w:rsid w:val="009E1C30"/>
    <w:rsid w:val="009E1E14"/>
    <w:rsid w:val="009E219B"/>
    <w:rsid w:val="009E23D7"/>
    <w:rsid w:val="009E2E34"/>
    <w:rsid w:val="009E326C"/>
    <w:rsid w:val="009E3A7D"/>
    <w:rsid w:val="009E42D9"/>
    <w:rsid w:val="009E4461"/>
    <w:rsid w:val="009E48C6"/>
    <w:rsid w:val="009E4CA5"/>
    <w:rsid w:val="009E4D70"/>
    <w:rsid w:val="009E4F8D"/>
    <w:rsid w:val="009E5636"/>
    <w:rsid w:val="009E5D91"/>
    <w:rsid w:val="009E5FA4"/>
    <w:rsid w:val="009E6049"/>
    <w:rsid w:val="009E6175"/>
    <w:rsid w:val="009E622F"/>
    <w:rsid w:val="009E6E97"/>
    <w:rsid w:val="009E726C"/>
    <w:rsid w:val="009E7402"/>
    <w:rsid w:val="009E75C9"/>
    <w:rsid w:val="009E7612"/>
    <w:rsid w:val="009E78CD"/>
    <w:rsid w:val="009E7D1B"/>
    <w:rsid w:val="009F030B"/>
    <w:rsid w:val="009F0320"/>
    <w:rsid w:val="009F0547"/>
    <w:rsid w:val="009F08FF"/>
    <w:rsid w:val="009F1531"/>
    <w:rsid w:val="009F168B"/>
    <w:rsid w:val="009F1D27"/>
    <w:rsid w:val="009F2042"/>
    <w:rsid w:val="009F234D"/>
    <w:rsid w:val="009F2C28"/>
    <w:rsid w:val="009F2F3A"/>
    <w:rsid w:val="009F329A"/>
    <w:rsid w:val="009F3946"/>
    <w:rsid w:val="009F436E"/>
    <w:rsid w:val="009F472B"/>
    <w:rsid w:val="009F4C79"/>
    <w:rsid w:val="009F5255"/>
    <w:rsid w:val="009F54AD"/>
    <w:rsid w:val="009F54C8"/>
    <w:rsid w:val="009F573F"/>
    <w:rsid w:val="009F5B48"/>
    <w:rsid w:val="009F5DD3"/>
    <w:rsid w:val="009F6075"/>
    <w:rsid w:val="009F631B"/>
    <w:rsid w:val="009F73AF"/>
    <w:rsid w:val="009F74C7"/>
    <w:rsid w:val="009F7DB8"/>
    <w:rsid w:val="00A00304"/>
    <w:rsid w:val="00A0084A"/>
    <w:rsid w:val="00A008E3"/>
    <w:rsid w:val="00A00B43"/>
    <w:rsid w:val="00A012D4"/>
    <w:rsid w:val="00A017CD"/>
    <w:rsid w:val="00A01ACF"/>
    <w:rsid w:val="00A01AFC"/>
    <w:rsid w:val="00A020D4"/>
    <w:rsid w:val="00A0249B"/>
    <w:rsid w:val="00A025F4"/>
    <w:rsid w:val="00A02AD9"/>
    <w:rsid w:val="00A03624"/>
    <w:rsid w:val="00A0387A"/>
    <w:rsid w:val="00A041FD"/>
    <w:rsid w:val="00A04564"/>
    <w:rsid w:val="00A045F2"/>
    <w:rsid w:val="00A04DDE"/>
    <w:rsid w:val="00A05826"/>
    <w:rsid w:val="00A061C3"/>
    <w:rsid w:val="00A06371"/>
    <w:rsid w:val="00A06A19"/>
    <w:rsid w:val="00A06AC9"/>
    <w:rsid w:val="00A07285"/>
    <w:rsid w:val="00A0732D"/>
    <w:rsid w:val="00A0742A"/>
    <w:rsid w:val="00A07665"/>
    <w:rsid w:val="00A07C70"/>
    <w:rsid w:val="00A07DE8"/>
    <w:rsid w:val="00A07DF0"/>
    <w:rsid w:val="00A10115"/>
    <w:rsid w:val="00A103F9"/>
    <w:rsid w:val="00A1050C"/>
    <w:rsid w:val="00A109F6"/>
    <w:rsid w:val="00A10D21"/>
    <w:rsid w:val="00A11331"/>
    <w:rsid w:val="00A12767"/>
    <w:rsid w:val="00A1313D"/>
    <w:rsid w:val="00A136DB"/>
    <w:rsid w:val="00A1385A"/>
    <w:rsid w:val="00A13888"/>
    <w:rsid w:val="00A13A14"/>
    <w:rsid w:val="00A13BEC"/>
    <w:rsid w:val="00A13C16"/>
    <w:rsid w:val="00A140CB"/>
    <w:rsid w:val="00A14153"/>
    <w:rsid w:val="00A149ED"/>
    <w:rsid w:val="00A150BA"/>
    <w:rsid w:val="00A15E33"/>
    <w:rsid w:val="00A16265"/>
    <w:rsid w:val="00A169C7"/>
    <w:rsid w:val="00A16C64"/>
    <w:rsid w:val="00A16E43"/>
    <w:rsid w:val="00A16E8D"/>
    <w:rsid w:val="00A1733F"/>
    <w:rsid w:val="00A17560"/>
    <w:rsid w:val="00A1791C"/>
    <w:rsid w:val="00A17A91"/>
    <w:rsid w:val="00A20145"/>
    <w:rsid w:val="00A202F8"/>
    <w:rsid w:val="00A2060A"/>
    <w:rsid w:val="00A21362"/>
    <w:rsid w:val="00A21836"/>
    <w:rsid w:val="00A21944"/>
    <w:rsid w:val="00A21E1A"/>
    <w:rsid w:val="00A21F50"/>
    <w:rsid w:val="00A2217F"/>
    <w:rsid w:val="00A2243B"/>
    <w:rsid w:val="00A225C6"/>
    <w:rsid w:val="00A22E2E"/>
    <w:rsid w:val="00A22E95"/>
    <w:rsid w:val="00A23497"/>
    <w:rsid w:val="00A23546"/>
    <w:rsid w:val="00A23EB1"/>
    <w:rsid w:val="00A23F69"/>
    <w:rsid w:val="00A23F8A"/>
    <w:rsid w:val="00A24739"/>
    <w:rsid w:val="00A24CB2"/>
    <w:rsid w:val="00A24EB4"/>
    <w:rsid w:val="00A250DD"/>
    <w:rsid w:val="00A25602"/>
    <w:rsid w:val="00A25F50"/>
    <w:rsid w:val="00A265C6"/>
    <w:rsid w:val="00A266E5"/>
    <w:rsid w:val="00A26BD4"/>
    <w:rsid w:val="00A274DF"/>
    <w:rsid w:val="00A2767E"/>
    <w:rsid w:val="00A277DB"/>
    <w:rsid w:val="00A27EB9"/>
    <w:rsid w:val="00A27FCD"/>
    <w:rsid w:val="00A30634"/>
    <w:rsid w:val="00A31759"/>
    <w:rsid w:val="00A3194C"/>
    <w:rsid w:val="00A31B22"/>
    <w:rsid w:val="00A31FE6"/>
    <w:rsid w:val="00A3253A"/>
    <w:rsid w:val="00A325C2"/>
    <w:rsid w:val="00A32945"/>
    <w:rsid w:val="00A32A0E"/>
    <w:rsid w:val="00A32D6C"/>
    <w:rsid w:val="00A32E0B"/>
    <w:rsid w:val="00A33564"/>
    <w:rsid w:val="00A33567"/>
    <w:rsid w:val="00A34450"/>
    <w:rsid w:val="00A35668"/>
    <w:rsid w:val="00A35917"/>
    <w:rsid w:val="00A359CE"/>
    <w:rsid w:val="00A35EB1"/>
    <w:rsid w:val="00A362A6"/>
    <w:rsid w:val="00A367B8"/>
    <w:rsid w:val="00A36832"/>
    <w:rsid w:val="00A36D8D"/>
    <w:rsid w:val="00A36DBC"/>
    <w:rsid w:val="00A373F9"/>
    <w:rsid w:val="00A3765F"/>
    <w:rsid w:val="00A40C61"/>
    <w:rsid w:val="00A4136E"/>
    <w:rsid w:val="00A41671"/>
    <w:rsid w:val="00A429E5"/>
    <w:rsid w:val="00A43009"/>
    <w:rsid w:val="00A4328E"/>
    <w:rsid w:val="00A435BA"/>
    <w:rsid w:val="00A43731"/>
    <w:rsid w:val="00A4395C"/>
    <w:rsid w:val="00A43D61"/>
    <w:rsid w:val="00A44014"/>
    <w:rsid w:val="00A44452"/>
    <w:rsid w:val="00A44474"/>
    <w:rsid w:val="00A444EA"/>
    <w:rsid w:val="00A45336"/>
    <w:rsid w:val="00A454E7"/>
    <w:rsid w:val="00A45826"/>
    <w:rsid w:val="00A45ED2"/>
    <w:rsid w:val="00A46B1B"/>
    <w:rsid w:val="00A47273"/>
    <w:rsid w:val="00A47381"/>
    <w:rsid w:val="00A5056A"/>
    <w:rsid w:val="00A507D7"/>
    <w:rsid w:val="00A50927"/>
    <w:rsid w:val="00A50CC4"/>
    <w:rsid w:val="00A51A44"/>
    <w:rsid w:val="00A52815"/>
    <w:rsid w:val="00A5299C"/>
    <w:rsid w:val="00A529F3"/>
    <w:rsid w:val="00A52B33"/>
    <w:rsid w:val="00A52C3A"/>
    <w:rsid w:val="00A535A1"/>
    <w:rsid w:val="00A53749"/>
    <w:rsid w:val="00A54350"/>
    <w:rsid w:val="00A54D49"/>
    <w:rsid w:val="00A54D82"/>
    <w:rsid w:val="00A550E0"/>
    <w:rsid w:val="00A5522E"/>
    <w:rsid w:val="00A553E8"/>
    <w:rsid w:val="00A55401"/>
    <w:rsid w:val="00A55D8A"/>
    <w:rsid w:val="00A5609F"/>
    <w:rsid w:val="00A56F89"/>
    <w:rsid w:val="00A601F4"/>
    <w:rsid w:val="00A604CF"/>
    <w:rsid w:val="00A60BFD"/>
    <w:rsid w:val="00A60EF3"/>
    <w:rsid w:val="00A60FE8"/>
    <w:rsid w:val="00A61752"/>
    <w:rsid w:val="00A622EA"/>
    <w:rsid w:val="00A62507"/>
    <w:rsid w:val="00A62A0A"/>
    <w:rsid w:val="00A630A6"/>
    <w:rsid w:val="00A63826"/>
    <w:rsid w:val="00A63B1D"/>
    <w:rsid w:val="00A6448C"/>
    <w:rsid w:val="00A64578"/>
    <w:rsid w:val="00A649D4"/>
    <w:rsid w:val="00A64BE8"/>
    <w:rsid w:val="00A64D33"/>
    <w:rsid w:val="00A65292"/>
    <w:rsid w:val="00A662B6"/>
    <w:rsid w:val="00A66A19"/>
    <w:rsid w:val="00A66AAE"/>
    <w:rsid w:val="00A66DB5"/>
    <w:rsid w:val="00A671C5"/>
    <w:rsid w:val="00A67A31"/>
    <w:rsid w:val="00A67CD8"/>
    <w:rsid w:val="00A70448"/>
    <w:rsid w:val="00A70D9B"/>
    <w:rsid w:val="00A70F55"/>
    <w:rsid w:val="00A71813"/>
    <w:rsid w:val="00A71B83"/>
    <w:rsid w:val="00A71C2D"/>
    <w:rsid w:val="00A71C52"/>
    <w:rsid w:val="00A72053"/>
    <w:rsid w:val="00A721B5"/>
    <w:rsid w:val="00A72568"/>
    <w:rsid w:val="00A72581"/>
    <w:rsid w:val="00A7262F"/>
    <w:rsid w:val="00A72CC9"/>
    <w:rsid w:val="00A739EE"/>
    <w:rsid w:val="00A740D5"/>
    <w:rsid w:val="00A74106"/>
    <w:rsid w:val="00A7469A"/>
    <w:rsid w:val="00A74CCA"/>
    <w:rsid w:val="00A74D65"/>
    <w:rsid w:val="00A74EC2"/>
    <w:rsid w:val="00A7515A"/>
    <w:rsid w:val="00A75427"/>
    <w:rsid w:val="00A75A10"/>
    <w:rsid w:val="00A75ED2"/>
    <w:rsid w:val="00A7619D"/>
    <w:rsid w:val="00A7656A"/>
    <w:rsid w:val="00A76681"/>
    <w:rsid w:val="00A767E9"/>
    <w:rsid w:val="00A77ACC"/>
    <w:rsid w:val="00A77BC5"/>
    <w:rsid w:val="00A802E1"/>
    <w:rsid w:val="00A808BF"/>
    <w:rsid w:val="00A81120"/>
    <w:rsid w:val="00A81352"/>
    <w:rsid w:val="00A81529"/>
    <w:rsid w:val="00A817C4"/>
    <w:rsid w:val="00A81EB7"/>
    <w:rsid w:val="00A8258D"/>
    <w:rsid w:val="00A826B6"/>
    <w:rsid w:val="00A8275F"/>
    <w:rsid w:val="00A82F26"/>
    <w:rsid w:val="00A8318F"/>
    <w:rsid w:val="00A837FB"/>
    <w:rsid w:val="00A83F4C"/>
    <w:rsid w:val="00A842EF"/>
    <w:rsid w:val="00A84E57"/>
    <w:rsid w:val="00A85145"/>
    <w:rsid w:val="00A85330"/>
    <w:rsid w:val="00A85544"/>
    <w:rsid w:val="00A85832"/>
    <w:rsid w:val="00A86145"/>
    <w:rsid w:val="00A87973"/>
    <w:rsid w:val="00A87FA2"/>
    <w:rsid w:val="00A90406"/>
    <w:rsid w:val="00A906B0"/>
    <w:rsid w:val="00A9086A"/>
    <w:rsid w:val="00A910CE"/>
    <w:rsid w:val="00A9135E"/>
    <w:rsid w:val="00A916CB"/>
    <w:rsid w:val="00A9203C"/>
    <w:rsid w:val="00A9227F"/>
    <w:rsid w:val="00A92492"/>
    <w:rsid w:val="00A93555"/>
    <w:rsid w:val="00A94094"/>
    <w:rsid w:val="00A94097"/>
    <w:rsid w:val="00A94336"/>
    <w:rsid w:val="00A946E9"/>
    <w:rsid w:val="00A94886"/>
    <w:rsid w:val="00A94B57"/>
    <w:rsid w:val="00A94B9A"/>
    <w:rsid w:val="00A9500D"/>
    <w:rsid w:val="00A951A8"/>
    <w:rsid w:val="00A9557D"/>
    <w:rsid w:val="00A95DAF"/>
    <w:rsid w:val="00A96539"/>
    <w:rsid w:val="00A96776"/>
    <w:rsid w:val="00A96A86"/>
    <w:rsid w:val="00A96E20"/>
    <w:rsid w:val="00A97092"/>
    <w:rsid w:val="00A975CF"/>
    <w:rsid w:val="00A97F66"/>
    <w:rsid w:val="00A97FDE"/>
    <w:rsid w:val="00AA0377"/>
    <w:rsid w:val="00AA041E"/>
    <w:rsid w:val="00AA0501"/>
    <w:rsid w:val="00AA062F"/>
    <w:rsid w:val="00AA0A0C"/>
    <w:rsid w:val="00AA12EC"/>
    <w:rsid w:val="00AA160D"/>
    <w:rsid w:val="00AA1840"/>
    <w:rsid w:val="00AA1B82"/>
    <w:rsid w:val="00AA1BA9"/>
    <w:rsid w:val="00AA1DC8"/>
    <w:rsid w:val="00AA1E51"/>
    <w:rsid w:val="00AA1E96"/>
    <w:rsid w:val="00AA2519"/>
    <w:rsid w:val="00AA3371"/>
    <w:rsid w:val="00AA36FD"/>
    <w:rsid w:val="00AA404F"/>
    <w:rsid w:val="00AA4436"/>
    <w:rsid w:val="00AA4917"/>
    <w:rsid w:val="00AA49E2"/>
    <w:rsid w:val="00AA4E9F"/>
    <w:rsid w:val="00AA5159"/>
    <w:rsid w:val="00AA5E8C"/>
    <w:rsid w:val="00AA653A"/>
    <w:rsid w:val="00AA6599"/>
    <w:rsid w:val="00AA70ED"/>
    <w:rsid w:val="00AA7106"/>
    <w:rsid w:val="00AA7FBE"/>
    <w:rsid w:val="00AB0076"/>
    <w:rsid w:val="00AB024A"/>
    <w:rsid w:val="00AB2131"/>
    <w:rsid w:val="00AB2FCE"/>
    <w:rsid w:val="00AB3779"/>
    <w:rsid w:val="00AB3BDB"/>
    <w:rsid w:val="00AB42F2"/>
    <w:rsid w:val="00AB4679"/>
    <w:rsid w:val="00AB4722"/>
    <w:rsid w:val="00AB4B9F"/>
    <w:rsid w:val="00AB4E09"/>
    <w:rsid w:val="00AB5A6F"/>
    <w:rsid w:val="00AB5E7F"/>
    <w:rsid w:val="00AB64E4"/>
    <w:rsid w:val="00AB6B68"/>
    <w:rsid w:val="00AB6D92"/>
    <w:rsid w:val="00AB7642"/>
    <w:rsid w:val="00AB7B39"/>
    <w:rsid w:val="00AB7C8B"/>
    <w:rsid w:val="00AB7F23"/>
    <w:rsid w:val="00AC0907"/>
    <w:rsid w:val="00AC12F9"/>
    <w:rsid w:val="00AC15B1"/>
    <w:rsid w:val="00AC1F1C"/>
    <w:rsid w:val="00AC2AF2"/>
    <w:rsid w:val="00AC301D"/>
    <w:rsid w:val="00AC33A9"/>
    <w:rsid w:val="00AC33F8"/>
    <w:rsid w:val="00AC35C3"/>
    <w:rsid w:val="00AC3E40"/>
    <w:rsid w:val="00AC42B9"/>
    <w:rsid w:val="00AC4496"/>
    <w:rsid w:val="00AC44AC"/>
    <w:rsid w:val="00AC4793"/>
    <w:rsid w:val="00AC4EAB"/>
    <w:rsid w:val="00AC4F34"/>
    <w:rsid w:val="00AC4F76"/>
    <w:rsid w:val="00AC519D"/>
    <w:rsid w:val="00AC5818"/>
    <w:rsid w:val="00AC5EE1"/>
    <w:rsid w:val="00AC5F0A"/>
    <w:rsid w:val="00AC5F58"/>
    <w:rsid w:val="00AC6405"/>
    <w:rsid w:val="00AC6701"/>
    <w:rsid w:val="00AC6883"/>
    <w:rsid w:val="00AC6D2E"/>
    <w:rsid w:val="00AC7245"/>
    <w:rsid w:val="00AC7922"/>
    <w:rsid w:val="00AC7A11"/>
    <w:rsid w:val="00AD0C79"/>
    <w:rsid w:val="00AD18AA"/>
    <w:rsid w:val="00AD2143"/>
    <w:rsid w:val="00AD28FB"/>
    <w:rsid w:val="00AD2BDA"/>
    <w:rsid w:val="00AD3A02"/>
    <w:rsid w:val="00AD3CF4"/>
    <w:rsid w:val="00AD4127"/>
    <w:rsid w:val="00AD5372"/>
    <w:rsid w:val="00AD5C9F"/>
    <w:rsid w:val="00AD6899"/>
    <w:rsid w:val="00AD6F7D"/>
    <w:rsid w:val="00AD7144"/>
    <w:rsid w:val="00AD7EB3"/>
    <w:rsid w:val="00AD7FF1"/>
    <w:rsid w:val="00AE069C"/>
    <w:rsid w:val="00AE09D6"/>
    <w:rsid w:val="00AE0C05"/>
    <w:rsid w:val="00AE0D8F"/>
    <w:rsid w:val="00AE0FA7"/>
    <w:rsid w:val="00AE14E3"/>
    <w:rsid w:val="00AE158D"/>
    <w:rsid w:val="00AE23A2"/>
    <w:rsid w:val="00AE2F5F"/>
    <w:rsid w:val="00AE31B2"/>
    <w:rsid w:val="00AE3223"/>
    <w:rsid w:val="00AE3AF5"/>
    <w:rsid w:val="00AE433E"/>
    <w:rsid w:val="00AE4592"/>
    <w:rsid w:val="00AE461B"/>
    <w:rsid w:val="00AE49E4"/>
    <w:rsid w:val="00AE5832"/>
    <w:rsid w:val="00AE5A8A"/>
    <w:rsid w:val="00AE5EF5"/>
    <w:rsid w:val="00AE61F2"/>
    <w:rsid w:val="00AE69FA"/>
    <w:rsid w:val="00AE6D38"/>
    <w:rsid w:val="00AE6FC7"/>
    <w:rsid w:val="00AE72A2"/>
    <w:rsid w:val="00AE7669"/>
    <w:rsid w:val="00AE7FF4"/>
    <w:rsid w:val="00AF00AC"/>
    <w:rsid w:val="00AF022E"/>
    <w:rsid w:val="00AF0538"/>
    <w:rsid w:val="00AF0C90"/>
    <w:rsid w:val="00AF139B"/>
    <w:rsid w:val="00AF23C4"/>
    <w:rsid w:val="00AF2924"/>
    <w:rsid w:val="00AF2933"/>
    <w:rsid w:val="00AF2D4E"/>
    <w:rsid w:val="00AF2E69"/>
    <w:rsid w:val="00AF3922"/>
    <w:rsid w:val="00AF48A3"/>
    <w:rsid w:val="00AF50A6"/>
    <w:rsid w:val="00AF57B0"/>
    <w:rsid w:val="00AF62D7"/>
    <w:rsid w:val="00AF6631"/>
    <w:rsid w:val="00AF6832"/>
    <w:rsid w:val="00AF6C48"/>
    <w:rsid w:val="00AF6E19"/>
    <w:rsid w:val="00AF7156"/>
    <w:rsid w:val="00AF7256"/>
    <w:rsid w:val="00AF7DB0"/>
    <w:rsid w:val="00B005D5"/>
    <w:rsid w:val="00B006A2"/>
    <w:rsid w:val="00B00A08"/>
    <w:rsid w:val="00B00F0A"/>
    <w:rsid w:val="00B0125E"/>
    <w:rsid w:val="00B013A9"/>
    <w:rsid w:val="00B018B5"/>
    <w:rsid w:val="00B0223B"/>
    <w:rsid w:val="00B0274A"/>
    <w:rsid w:val="00B029E1"/>
    <w:rsid w:val="00B02BA6"/>
    <w:rsid w:val="00B02CBD"/>
    <w:rsid w:val="00B03594"/>
    <w:rsid w:val="00B036F2"/>
    <w:rsid w:val="00B03D5F"/>
    <w:rsid w:val="00B04007"/>
    <w:rsid w:val="00B04316"/>
    <w:rsid w:val="00B0491C"/>
    <w:rsid w:val="00B0505E"/>
    <w:rsid w:val="00B05972"/>
    <w:rsid w:val="00B059DB"/>
    <w:rsid w:val="00B06893"/>
    <w:rsid w:val="00B101D1"/>
    <w:rsid w:val="00B1073C"/>
    <w:rsid w:val="00B10CC6"/>
    <w:rsid w:val="00B10F3F"/>
    <w:rsid w:val="00B110C3"/>
    <w:rsid w:val="00B11B94"/>
    <w:rsid w:val="00B11E67"/>
    <w:rsid w:val="00B11FAD"/>
    <w:rsid w:val="00B11FDE"/>
    <w:rsid w:val="00B12464"/>
    <w:rsid w:val="00B12C77"/>
    <w:rsid w:val="00B12D0E"/>
    <w:rsid w:val="00B12E5A"/>
    <w:rsid w:val="00B13DEB"/>
    <w:rsid w:val="00B14171"/>
    <w:rsid w:val="00B14993"/>
    <w:rsid w:val="00B15579"/>
    <w:rsid w:val="00B1586D"/>
    <w:rsid w:val="00B1626D"/>
    <w:rsid w:val="00B168FE"/>
    <w:rsid w:val="00B16A06"/>
    <w:rsid w:val="00B173A0"/>
    <w:rsid w:val="00B177F4"/>
    <w:rsid w:val="00B2099C"/>
    <w:rsid w:val="00B20C22"/>
    <w:rsid w:val="00B212B5"/>
    <w:rsid w:val="00B216F5"/>
    <w:rsid w:val="00B217FF"/>
    <w:rsid w:val="00B22C78"/>
    <w:rsid w:val="00B22D42"/>
    <w:rsid w:val="00B22D6A"/>
    <w:rsid w:val="00B233DE"/>
    <w:rsid w:val="00B23677"/>
    <w:rsid w:val="00B23B7C"/>
    <w:rsid w:val="00B23B85"/>
    <w:rsid w:val="00B23CD0"/>
    <w:rsid w:val="00B23D70"/>
    <w:rsid w:val="00B23F1B"/>
    <w:rsid w:val="00B2430E"/>
    <w:rsid w:val="00B24431"/>
    <w:rsid w:val="00B2466A"/>
    <w:rsid w:val="00B247B5"/>
    <w:rsid w:val="00B24B8C"/>
    <w:rsid w:val="00B251F9"/>
    <w:rsid w:val="00B25503"/>
    <w:rsid w:val="00B256F1"/>
    <w:rsid w:val="00B25F34"/>
    <w:rsid w:val="00B26FED"/>
    <w:rsid w:val="00B2771D"/>
    <w:rsid w:val="00B27E2A"/>
    <w:rsid w:val="00B30301"/>
    <w:rsid w:val="00B303B1"/>
    <w:rsid w:val="00B30803"/>
    <w:rsid w:val="00B30E36"/>
    <w:rsid w:val="00B30EC4"/>
    <w:rsid w:val="00B31573"/>
    <w:rsid w:val="00B318D2"/>
    <w:rsid w:val="00B31C20"/>
    <w:rsid w:val="00B31DEF"/>
    <w:rsid w:val="00B329DB"/>
    <w:rsid w:val="00B329FC"/>
    <w:rsid w:val="00B33D87"/>
    <w:rsid w:val="00B34F2C"/>
    <w:rsid w:val="00B34FCD"/>
    <w:rsid w:val="00B3574D"/>
    <w:rsid w:val="00B357C9"/>
    <w:rsid w:val="00B35BA1"/>
    <w:rsid w:val="00B36144"/>
    <w:rsid w:val="00B36724"/>
    <w:rsid w:val="00B36853"/>
    <w:rsid w:val="00B37823"/>
    <w:rsid w:val="00B3798C"/>
    <w:rsid w:val="00B37C8F"/>
    <w:rsid w:val="00B37D10"/>
    <w:rsid w:val="00B37E8E"/>
    <w:rsid w:val="00B40F0B"/>
    <w:rsid w:val="00B40F3E"/>
    <w:rsid w:val="00B4153C"/>
    <w:rsid w:val="00B415DE"/>
    <w:rsid w:val="00B4285C"/>
    <w:rsid w:val="00B42BF1"/>
    <w:rsid w:val="00B433CC"/>
    <w:rsid w:val="00B43C4B"/>
    <w:rsid w:val="00B43C94"/>
    <w:rsid w:val="00B43E54"/>
    <w:rsid w:val="00B445A0"/>
    <w:rsid w:val="00B44D04"/>
    <w:rsid w:val="00B457D4"/>
    <w:rsid w:val="00B45D13"/>
    <w:rsid w:val="00B46001"/>
    <w:rsid w:val="00B46181"/>
    <w:rsid w:val="00B46D30"/>
    <w:rsid w:val="00B473D8"/>
    <w:rsid w:val="00B47B6B"/>
    <w:rsid w:val="00B47D87"/>
    <w:rsid w:val="00B47EE6"/>
    <w:rsid w:val="00B504B5"/>
    <w:rsid w:val="00B50642"/>
    <w:rsid w:val="00B50E0A"/>
    <w:rsid w:val="00B510B9"/>
    <w:rsid w:val="00B515F4"/>
    <w:rsid w:val="00B51BC9"/>
    <w:rsid w:val="00B51DE3"/>
    <w:rsid w:val="00B52045"/>
    <w:rsid w:val="00B52092"/>
    <w:rsid w:val="00B52925"/>
    <w:rsid w:val="00B52C4D"/>
    <w:rsid w:val="00B5316E"/>
    <w:rsid w:val="00B54628"/>
    <w:rsid w:val="00B54B7F"/>
    <w:rsid w:val="00B54D09"/>
    <w:rsid w:val="00B55670"/>
    <w:rsid w:val="00B55A78"/>
    <w:rsid w:val="00B55DC6"/>
    <w:rsid w:val="00B56705"/>
    <w:rsid w:val="00B567B5"/>
    <w:rsid w:val="00B568EA"/>
    <w:rsid w:val="00B56BA2"/>
    <w:rsid w:val="00B56DD1"/>
    <w:rsid w:val="00B57494"/>
    <w:rsid w:val="00B57772"/>
    <w:rsid w:val="00B578B7"/>
    <w:rsid w:val="00B57914"/>
    <w:rsid w:val="00B57EB6"/>
    <w:rsid w:val="00B57F12"/>
    <w:rsid w:val="00B603E7"/>
    <w:rsid w:val="00B60D82"/>
    <w:rsid w:val="00B60E36"/>
    <w:rsid w:val="00B612C7"/>
    <w:rsid w:val="00B61452"/>
    <w:rsid w:val="00B61E07"/>
    <w:rsid w:val="00B62B99"/>
    <w:rsid w:val="00B62D4F"/>
    <w:rsid w:val="00B63C4A"/>
    <w:rsid w:val="00B642BD"/>
    <w:rsid w:val="00B6440B"/>
    <w:rsid w:val="00B645F8"/>
    <w:rsid w:val="00B64909"/>
    <w:rsid w:val="00B64A5A"/>
    <w:rsid w:val="00B64D5E"/>
    <w:rsid w:val="00B6687D"/>
    <w:rsid w:val="00B670DF"/>
    <w:rsid w:val="00B67268"/>
    <w:rsid w:val="00B672DC"/>
    <w:rsid w:val="00B674D4"/>
    <w:rsid w:val="00B67B3B"/>
    <w:rsid w:val="00B701A1"/>
    <w:rsid w:val="00B7030C"/>
    <w:rsid w:val="00B708EF"/>
    <w:rsid w:val="00B70A25"/>
    <w:rsid w:val="00B70DC7"/>
    <w:rsid w:val="00B710C1"/>
    <w:rsid w:val="00B711C8"/>
    <w:rsid w:val="00B71F97"/>
    <w:rsid w:val="00B722BE"/>
    <w:rsid w:val="00B72656"/>
    <w:rsid w:val="00B7324B"/>
    <w:rsid w:val="00B7328F"/>
    <w:rsid w:val="00B744DB"/>
    <w:rsid w:val="00B747AB"/>
    <w:rsid w:val="00B7495B"/>
    <w:rsid w:val="00B75230"/>
    <w:rsid w:val="00B7555F"/>
    <w:rsid w:val="00B761CB"/>
    <w:rsid w:val="00B766DB"/>
    <w:rsid w:val="00B76F2F"/>
    <w:rsid w:val="00B7735F"/>
    <w:rsid w:val="00B80166"/>
    <w:rsid w:val="00B805C8"/>
    <w:rsid w:val="00B80A27"/>
    <w:rsid w:val="00B80AC0"/>
    <w:rsid w:val="00B80BA7"/>
    <w:rsid w:val="00B80BEF"/>
    <w:rsid w:val="00B816AA"/>
    <w:rsid w:val="00B8172D"/>
    <w:rsid w:val="00B81C6F"/>
    <w:rsid w:val="00B820B0"/>
    <w:rsid w:val="00B82912"/>
    <w:rsid w:val="00B82CB6"/>
    <w:rsid w:val="00B83167"/>
    <w:rsid w:val="00B832A3"/>
    <w:rsid w:val="00B83C21"/>
    <w:rsid w:val="00B83C5E"/>
    <w:rsid w:val="00B84826"/>
    <w:rsid w:val="00B84D81"/>
    <w:rsid w:val="00B851A5"/>
    <w:rsid w:val="00B856F4"/>
    <w:rsid w:val="00B85F4C"/>
    <w:rsid w:val="00B85F9D"/>
    <w:rsid w:val="00B86155"/>
    <w:rsid w:val="00B86162"/>
    <w:rsid w:val="00B8686C"/>
    <w:rsid w:val="00B869F7"/>
    <w:rsid w:val="00B87599"/>
    <w:rsid w:val="00B9015B"/>
    <w:rsid w:val="00B909DB"/>
    <w:rsid w:val="00B9112C"/>
    <w:rsid w:val="00B92AD4"/>
    <w:rsid w:val="00B92AFA"/>
    <w:rsid w:val="00B92C35"/>
    <w:rsid w:val="00B92D68"/>
    <w:rsid w:val="00B92D76"/>
    <w:rsid w:val="00B93222"/>
    <w:rsid w:val="00B93273"/>
    <w:rsid w:val="00B9338D"/>
    <w:rsid w:val="00B9370B"/>
    <w:rsid w:val="00B94342"/>
    <w:rsid w:val="00B946A3"/>
    <w:rsid w:val="00B9472F"/>
    <w:rsid w:val="00B948C4"/>
    <w:rsid w:val="00B94962"/>
    <w:rsid w:val="00B94A91"/>
    <w:rsid w:val="00B94F52"/>
    <w:rsid w:val="00B95080"/>
    <w:rsid w:val="00B95689"/>
    <w:rsid w:val="00B956E3"/>
    <w:rsid w:val="00B95D38"/>
    <w:rsid w:val="00B9665E"/>
    <w:rsid w:val="00B968BA"/>
    <w:rsid w:val="00B968D5"/>
    <w:rsid w:val="00B96E18"/>
    <w:rsid w:val="00B97958"/>
    <w:rsid w:val="00B97BA8"/>
    <w:rsid w:val="00BA015C"/>
    <w:rsid w:val="00BA03C2"/>
    <w:rsid w:val="00BA0F31"/>
    <w:rsid w:val="00BA0F62"/>
    <w:rsid w:val="00BA1338"/>
    <w:rsid w:val="00BA17E8"/>
    <w:rsid w:val="00BA2917"/>
    <w:rsid w:val="00BA3113"/>
    <w:rsid w:val="00BA325C"/>
    <w:rsid w:val="00BA3EA7"/>
    <w:rsid w:val="00BA4065"/>
    <w:rsid w:val="00BA4DBD"/>
    <w:rsid w:val="00BA4E82"/>
    <w:rsid w:val="00BA4F0D"/>
    <w:rsid w:val="00BA4F82"/>
    <w:rsid w:val="00BA52C1"/>
    <w:rsid w:val="00BA5B3A"/>
    <w:rsid w:val="00BA5DF0"/>
    <w:rsid w:val="00BA61A3"/>
    <w:rsid w:val="00BA70DA"/>
    <w:rsid w:val="00BA7977"/>
    <w:rsid w:val="00BA7A69"/>
    <w:rsid w:val="00BA7B13"/>
    <w:rsid w:val="00BA7F2A"/>
    <w:rsid w:val="00BB08F1"/>
    <w:rsid w:val="00BB1702"/>
    <w:rsid w:val="00BB174B"/>
    <w:rsid w:val="00BB184F"/>
    <w:rsid w:val="00BB2EB0"/>
    <w:rsid w:val="00BB324B"/>
    <w:rsid w:val="00BB3FB0"/>
    <w:rsid w:val="00BB434B"/>
    <w:rsid w:val="00BB44E2"/>
    <w:rsid w:val="00BB469A"/>
    <w:rsid w:val="00BB482F"/>
    <w:rsid w:val="00BB4F35"/>
    <w:rsid w:val="00BB508F"/>
    <w:rsid w:val="00BB5AEC"/>
    <w:rsid w:val="00BB5D48"/>
    <w:rsid w:val="00BB6916"/>
    <w:rsid w:val="00BB6C83"/>
    <w:rsid w:val="00BB70C2"/>
    <w:rsid w:val="00BB7C60"/>
    <w:rsid w:val="00BB7E3F"/>
    <w:rsid w:val="00BB7EC8"/>
    <w:rsid w:val="00BC074C"/>
    <w:rsid w:val="00BC0998"/>
    <w:rsid w:val="00BC0E96"/>
    <w:rsid w:val="00BC0F54"/>
    <w:rsid w:val="00BC0F77"/>
    <w:rsid w:val="00BC0FBF"/>
    <w:rsid w:val="00BC1A28"/>
    <w:rsid w:val="00BC1E37"/>
    <w:rsid w:val="00BC2459"/>
    <w:rsid w:val="00BC3031"/>
    <w:rsid w:val="00BC3414"/>
    <w:rsid w:val="00BC3B13"/>
    <w:rsid w:val="00BC3EBC"/>
    <w:rsid w:val="00BC3FFF"/>
    <w:rsid w:val="00BC525C"/>
    <w:rsid w:val="00BC53BA"/>
    <w:rsid w:val="00BC543D"/>
    <w:rsid w:val="00BC58CB"/>
    <w:rsid w:val="00BC5D5B"/>
    <w:rsid w:val="00BC5DFC"/>
    <w:rsid w:val="00BC5EEA"/>
    <w:rsid w:val="00BC6AAE"/>
    <w:rsid w:val="00BC6B11"/>
    <w:rsid w:val="00BC6CC5"/>
    <w:rsid w:val="00BC7516"/>
    <w:rsid w:val="00BC7637"/>
    <w:rsid w:val="00BC7AEC"/>
    <w:rsid w:val="00BC7CFE"/>
    <w:rsid w:val="00BC7D1F"/>
    <w:rsid w:val="00BD01C6"/>
    <w:rsid w:val="00BD045D"/>
    <w:rsid w:val="00BD0BAC"/>
    <w:rsid w:val="00BD0BB3"/>
    <w:rsid w:val="00BD1230"/>
    <w:rsid w:val="00BD1277"/>
    <w:rsid w:val="00BD183D"/>
    <w:rsid w:val="00BD233E"/>
    <w:rsid w:val="00BD245E"/>
    <w:rsid w:val="00BD2D99"/>
    <w:rsid w:val="00BD2F52"/>
    <w:rsid w:val="00BD4029"/>
    <w:rsid w:val="00BD40E2"/>
    <w:rsid w:val="00BD4373"/>
    <w:rsid w:val="00BD4394"/>
    <w:rsid w:val="00BD4762"/>
    <w:rsid w:val="00BD4A29"/>
    <w:rsid w:val="00BD4C97"/>
    <w:rsid w:val="00BD4DCB"/>
    <w:rsid w:val="00BD4FB9"/>
    <w:rsid w:val="00BD5672"/>
    <w:rsid w:val="00BD5A87"/>
    <w:rsid w:val="00BD63AB"/>
    <w:rsid w:val="00BD6B63"/>
    <w:rsid w:val="00BD6D5E"/>
    <w:rsid w:val="00BD6DAF"/>
    <w:rsid w:val="00BD73C1"/>
    <w:rsid w:val="00BD76E3"/>
    <w:rsid w:val="00BE022E"/>
    <w:rsid w:val="00BE185A"/>
    <w:rsid w:val="00BE2886"/>
    <w:rsid w:val="00BE2C7E"/>
    <w:rsid w:val="00BE32D2"/>
    <w:rsid w:val="00BE3A95"/>
    <w:rsid w:val="00BE3C4D"/>
    <w:rsid w:val="00BE4156"/>
    <w:rsid w:val="00BE426B"/>
    <w:rsid w:val="00BE42A3"/>
    <w:rsid w:val="00BE43D7"/>
    <w:rsid w:val="00BE4AEB"/>
    <w:rsid w:val="00BE5025"/>
    <w:rsid w:val="00BE531C"/>
    <w:rsid w:val="00BE5493"/>
    <w:rsid w:val="00BE55B6"/>
    <w:rsid w:val="00BE578D"/>
    <w:rsid w:val="00BE6112"/>
    <w:rsid w:val="00BE615C"/>
    <w:rsid w:val="00BE652D"/>
    <w:rsid w:val="00BE68CD"/>
    <w:rsid w:val="00BE68D0"/>
    <w:rsid w:val="00BE6CE8"/>
    <w:rsid w:val="00BE7177"/>
    <w:rsid w:val="00BE72AA"/>
    <w:rsid w:val="00BE7307"/>
    <w:rsid w:val="00BE7A55"/>
    <w:rsid w:val="00BF05F8"/>
    <w:rsid w:val="00BF0688"/>
    <w:rsid w:val="00BF16C0"/>
    <w:rsid w:val="00BF1A6A"/>
    <w:rsid w:val="00BF1ED6"/>
    <w:rsid w:val="00BF2126"/>
    <w:rsid w:val="00BF2140"/>
    <w:rsid w:val="00BF26AE"/>
    <w:rsid w:val="00BF372B"/>
    <w:rsid w:val="00BF3AE1"/>
    <w:rsid w:val="00BF40FC"/>
    <w:rsid w:val="00BF43A5"/>
    <w:rsid w:val="00BF4E16"/>
    <w:rsid w:val="00BF5F6F"/>
    <w:rsid w:val="00BF72DD"/>
    <w:rsid w:val="00BF74AD"/>
    <w:rsid w:val="00BF74CB"/>
    <w:rsid w:val="00BF7504"/>
    <w:rsid w:val="00BF753F"/>
    <w:rsid w:val="00BF7DB9"/>
    <w:rsid w:val="00C00629"/>
    <w:rsid w:val="00C00D7E"/>
    <w:rsid w:val="00C010D3"/>
    <w:rsid w:val="00C010D5"/>
    <w:rsid w:val="00C01178"/>
    <w:rsid w:val="00C01BAF"/>
    <w:rsid w:val="00C01E3E"/>
    <w:rsid w:val="00C01FBF"/>
    <w:rsid w:val="00C0204A"/>
    <w:rsid w:val="00C0280B"/>
    <w:rsid w:val="00C02E13"/>
    <w:rsid w:val="00C03D72"/>
    <w:rsid w:val="00C045BE"/>
    <w:rsid w:val="00C045F7"/>
    <w:rsid w:val="00C04649"/>
    <w:rsid w:val="00C04705"/>
    <w:rsid w:val="00C04819"/>
    <w:rsid w:val="00C04F22"/>
    <w:rsid w:val="00C0517F"/>
    <w:rsid w:val="00C053EA"/>
    <w:rsid w:val="00C0571E"/>
    <w:rsid w:val="00C05784"/>
    <w:rsid w:val="00C05D5C"/>
    <w:rsid w:val="00C06A6B"/>
    <w:rsid w:val="00C06A82"/>
    <w:rsid w:val="00C06B94"/>
    <w:rsid w:val="00C06BBE"/>
    <w:rsid w:val="00C071C2"/>
    <w:rsid w:val="00C10368"/>
    <w:rsid w:val="00C1087D"/>
    <w:rsid w:val="00C1096E"/>
    <w:rsid w:val="00C10D01"/>
    <w:rsid w:val="00C10F22"/>
    <w:rsid w:val="00C1135F"/>
    <w:rsid w:val="00C119FF"/>
    <w:rsid w:val="00C11B62"/>
    <w:rsid w:val="00C11BA7"/>
    <w:rsid w:val="00C12297"/>
    <w:rsid w:val="00C122B4"/>
    <w:rsid w:val="00C12510"/>
    <w:rsid w:val="00C127B5"/>
    <w:rsid w:val="00C12B0F"/>
    <w:rsid w:val="00C12C49"/>
    <w:rsid w:val="00C12C78"/>
    <w:rsid w:val="00C12CF3"/>
    <w:rsid w:val="00C13E14"/>
    <w:rsid w:val="00C13E29"/>
    <w:rsid w:val="00C14A9E"/>
    <w:rsid w:val="00C14D3A"/>
    <w:rsid w:val="00C14DCF"/>
    <w:rsid w:val="00C15B8A"/>
    <w:rsid w:val="00C16247"/>
    <w:rsid w:val="00C16317"/>
    <w:rsid w:val="00C16900"/>
    <w:rsid w:val="00C1702C"/>
    <w:rsid w:val="00C17DE0"/>
    <w:rsid w:val="00C17F6C"/>
    <w:rsid w:val="00C2103B"/>
    <w:rsid w:val="00C210E6"/>
    <w:rsid w:val="00C21175"/>
    <w:rsid w:val="00C211A4"/>
    <w:rsid w:val="00C21704"/>
    <w:rsid w:val="00C21E11"/>
    <w:rsid w:val="00C22358"/>
    <w:rsid w:val="00C22468"/>
    <w:rsid w:val="00C22679"/>
    <w:rsid w:val="00C2292C"/>
    <w:rsid w:val="00C22D69"/>
    <w:rsid w:val="00C22DC2"/>
    <w:rsid w:val="00C230D7"/>
    <w:rsid w:val="00C23288"/>
    <w:rsid w:val="00C23A44"/>
    <w:rsid w:val="00C23B3A"/>
    <w:rsid w:val="00C24B62"/>
    <w:rsid w:val="00C2503C"/>
    <w:rsid w:val="00C25F0B"/>
    <w:rsid w:val="00C26D6F"/>
    <w:rsid w:val="00C2715A"/>
    <w:rsid w:val="00C305F5"/>
    <w:rsid w:val="00C30C0C"/>
    <w:rsid w:val="00C30D20"/>
    <w:rsid w:val="00C31055"/>
    <w:rsid w:val="00C3114A"/>
    <w:rsid w:val="00C31610"/>
    <w:rsid w:val="00C3168A"/>
    <w:rsid w:val="00C31E3F"/>
    <w:rsid w:val="00C327AE"/>
    <w:rsid w:val="00C333A8"/>
    <w:rsid w:val="00C33427"/>
    <w:rsid w:val="00C33B32"/>
    <w:rsid w:val="00C33FF7"/>
    <w:rsid w:val="00C34C03"/>
    <w:rsid w:val="00C3576B"/>
    <w:rsid w:val="00C36903"/>
    <w:rsid w:val="00C36B4E"/>
    <w:rsid w:val="00C36B9C"/>
    <w:rsid w:val="00C36D3F"/>
    <w:rsid w:val="00C37333"/>
    <w:rsid w:val="00C373C8"/>
    <w:rsid w:val="00C374A7"/>
    <w:rsid w:val="00C37BC3"/>
    <w:rsid w:val="00C37E09"/>
    <w:rsid w:val="00C37F74"/>
    <w:rsid w:val="00C40BD7"/>
    <w:rsid w:val="00C40D8E"/>
    <w:rsid w:val="00C40DF2"/>
    <w:rsid w:val="00C4122F"/>
    <w:rsid w:val="00C41574"/>
    <w:rsid w:val="00C41DC4"/>
    <w:rsid w:val="00C429FB"/>
    <w:rsid w:val="00C42F7B"/>
    <w:rsid w:val="00C43B53"/>
    <w:rsid w:val="00C448EA"/>
    <w:rsid w:val="00C44A29"/>
    <w:rsid w:val="00C450E8"/>
    <w:rsid w:val="00C455D3"/>
    <w:rsid w:val="00C45771"/>
    <w:rsid w:val="00C457F7"/>
    <w:rsid w:val="00C4596E"/>
    <w:rsid w:val="00C4599B"/>
    <w:rsid w:val="00C466BF"/>
    <w:rsid w:val="00C46B8B"/>
    <w:rsid w:val="00C46E7E"/>
    <w:rsid w:val="00C47071"/>
    <w:rsid w:val="00C47451"/>
    <w:rsid w:val="00C50057"/>
    <w:rsid w:val="00C501F0"/>
    <w:rsid w:val="00C50FFF"/>
    <w:rsid w:val="00C51A8A"/>
    <w:rsid w:val="00C51BEF"/>
    <w:rsid w:val="00C52211"/>
    <w:rsid w:val="00C52799"/>
    <w:rsid w:val="00C52844"/>
    <w:rsid w:val="00C52890"/>
    <w:rsid w:val="00C52C53"/>
    <w:rsid w:val="00C53C43"/>
    <w:rsid w:val="00C545F1"/>
    <w:rsid w:val="00C547D5"/>
    <w:rsid w:val="00C54A36"/>
    <w:rsid w:val="00C550DD"/>
    <w:rsid w:val="00C56060"/>
    <w:rsid w:val="00C5667C"/>
    <w:rsid w:val="00C56A59"/>
    <w:rsid w:val="00C56EB3"/>
    <w:rsid w:val="00C571D5"/>
    <w:rsid w:val="00C5767F"/>
    <w:rsid w:val="00C60469"/>
    <w:rsid w:val="00C60546"/>
    <w:rsid w:val="00C60711"/>
    <w:rsid w:val="00C60FCB"/>
    <w:rsid w:val="00C6125C"/>
    <w:rsid w:val="00C614A8"/>
    <w:rsid w:val="00C6205F"/>
    <w:rsid w:val="00C6217C"/>
    <w:rsid w:val="00C62220"/>
    <w:rsid w:val="00C6239C"/>
    <w:rsid w:val="00C62BCE"/>
    <w:rsid w:val="00C63DF3"/>
    <w:rsid w:val="00C6407C"/>
    <w:rsid w:val="00C641FD"/>
    <w:rsid w:val="00C64223"/>
    <w:rsid w:val="00C64269"/>
    <w:rsid w:val="00C642F6"/>
    <w:rsid w:val="00C64958"/>
    <w:rsid w:val="00C649B7"/>
    <w:rsid w:val="00C6554E"/>
    <w:rsid w:val="00C65882"/>
    <w:rsid w:val="00C66720"/>
    <w:rsid w:val="00C67A52"/>
    <w:rsid w:val="00C704F5"/>
    <w:rsid w:val="00C708B2"/>
    <w:rsid w:val="00C710AC"/>
    <w:rsid w:val="00C71509"/>
    <w:rsid w:val="00C71E55"/>
    <w:rsid w:val="00C723F5"/>
    <w:rsid w:val="00C72523"/>
    <w:rsid w:val="00C729A2"/>
    <w:rsid w:val="00C73BA4"/>
    <w:rsid w:val="00C74159"/>
    <w:rsid w:val="00C74559"/>
    <w:rsid w:val="00C74752"/>
    <w:rsid w:val="00C748DC"/>
    <w:rsid w:val="00C749D9"/>
    <w:rsid w:val="00C74C41"/>
    <w:rsid w:val="00C74F14"/>
    <w:rsid w:val="00C753CA"/>
    <w:rsid w:val="00C75551"/>
    <w:rsid w:val="00C761A3"/>
    <w:rsid w:val="00C7637C"/>
    <w:rsid w:val="00C76405"/>
    <w:rsid w:val="00C764C3"/>
    <w:rsid w:val="00C774B0"/>
    <w:rsid w:val="00C777A8"/>
    <w:rsid w:val="00C778A0"/>
    <w:rsid w:val="00C77AD1"/>
    <w:rsid w:val="00C77CBB"/>
    <w:rsid w:val="00C808F5"/>
    <w:rsid w:val="00C80C02"/>
    <w:rsid w:val="00C80C4C"/>
    <w:rsid w:val="00C80D76"/>
    <w:rsid w:val="00C81C24"/>
    <w:rsid w:val="00C825B6"/>
    <w:rsid w:val="00C82638"/>
    <w:rsid w:val="00C8273E"/>
    <w:rsid w:val="00C828A5"/>
    <w:rsid w:val="00C828D7"/>
    <w:rsid w:val="00C82BEF"/>
    <w:rsid w:val="00C8318E"/>
    <w:rsid w:val="00C832DD"/>
    <w:rsid w:val="00C832FB"/>
    <w:rsid w:val="00C83925"/>
    <w:rsid w:val="00C83E85"/>
    <w:rsid w:val="00C83F25"/>
    <w:rsid w:val="00C849A3"/>
    <w:rsid w:val="00C85042"/>
    <w:rsid w:val="00C850CC"/>
    <w:rsid w:val="00C85232"/>
    <w:rsid w:val="00C852E1"/>
    <w:rsid w:val="00C859C6"/>
    <w:rsid w:val="00C85E41"/>
    <w:rsid w:val="00C86BD0"/>
    <w:rsid w:val="00C8705A"/>
    <w:rsid w:val="00C8747C"/>
    <w:rsid w:val="00C9020D"/>
    <w:rsid w:val="00C902C0"/>
    <w:rsid w:val="00C90979"/>
    <w:rsid w:val="00C90D35"/>
    <w:rsid w:val="00C91113"/>
    <w:rsid w:val="00C919F9"/>
    <w:rsid w:val="00C9246A"/>
    <w:rsid w:val="00C92802"/>
    <w:rsid w:val="00C92BBD"/>
    <w:rsid w:val="00C93B9C"/>
    <w:rsid w:val="00C93CA9"/>
    <w:rsid w:val="00C93E28"/>
    <w:rsid w:val="00C943B4"/>
    <w:rsid w:val="00C94D91"/>
    <w:rsid w:val="00C95414"/>
    <w:rsid w:val="00C95D5D"/>
    <w:rsid w:val="00C962EB"/>
    <w:rsid w:val="00C96746"/>
    <w:rsid w:val="00C969FC"/>
    <w:rsid w:val="00C96D0C"/>
    <w:rsid w:val="00C97419"/>
    <w:rsid w:val="00C9743B"/>
    <w:rsid w:val="00CA0171"/>
    <w:rsid w:val="00CA072E"/>
    <w:rsid w:val="00CA0D4E"/>
    <w:rsid w:val="00CA10A8"/>
    <w:rsid w:val="00CA10DE"/>
    <w:rsid w:val="00CA13EB"/>
    <w:rsid w:val="00CA1BD2"/>
    <w:rsid w:val="00CA1F7F"/>
    <w:rsid w:val="00CA215F"/>
    <w:rsid w:val="00CA2903"/>
    <w:rsid w:val="00CA3146"/>
    <w:rsid w:val="00CA375E"/>
    <w:rsid w:val="00CA40C1"/>
    <w:rsid w:val="00CA4105"/>
    <w:rsid w:val="00CA4747"/>
    <w:rsid w:val="00CA4C73"/>
    <w:rsid w:val="00CA4CB3"/>
    <w:rsid w:val="00CA5767"/>
    <w:rsid w:val="00CA588D"/>
    <w:rsid w:val="00CA5DED"/>
    <w:rsid w:val="00CA614E"/>
    <w:rsid w:val="00CA68C4"/>
    <w:rsid w:val="00CA692F"/>
    <w:rsid w:val="00CA696A"/>
    <w:rsid w:val="00CA6A00"/>
    <w:rsid w:val="00CA6B04"/>
    <w:rsid w:val="00CA6DA8"/>
    <w:rsid w:val="00CA72F6"/>
    <w:rsid w:val="00CA7865"/>
    <w:rsid w:val="00CA791E"/>
    <w:rsid w:val="00CA7AEE"/>
    <w:rsid w:val="00CA7B22"/>
    <w:rsid w:val="00CB038B"/>
    <w:rsid w:val="00CB09D7"/>
    <w:rsid w:val="00CB125A"/>
    <w:rsid w:val="00CB1561"/>
    <w:rsid w:val="00CB1F89"/>
    <w:rsid w:val="00CB21BF"/>
    <w:rsid w:val="00CB2460"/>
    <w:rsid w:val="00CB255C"/>
    <w:rsid w:val="00CB33A3"/>
    <w:rsid w:val="00CB348C"/>
    <w:rsid w:val="00CB3642"/>
    <w:rsid w:val="00CB39C5"/>
    <w:rsid w:val="00CB3A98"/>
    <w:rsid w:val="00CB3E82"/>
    <w:rsid w:val="00CB3F4C"/>
    <w:rsid w:val="00CB43EC"/>
    <w:rsid w:val="00CB4501"/>
    <w:rsid w:val="00CB478B"/>
    <w:rsid w:val="00CB4B7E"/>
    <w:rsid w:val="00CB4BAF"/>
    <w:rsid w:val="00CB5101"/>
    <w:rsid w:val="00CB5986"/>
    <w:rsid w:val="00CB5C91"/>
    <w:rsid w:val="00CB6D3B"/>
    <w:rsid w:val="00CB6E69"/>
    <w:rsid w:val="00CB72F8"/>
    <w:rsid w:val="00CB766F"/>
    <w:rsid w:val="00CB7E83"/>
    <w:rsid w:val="00CC0146"/>
    <w:rsid w:val="00CC043D"/>
    <w:rsid w:val="00CC05EB"/>
    <w:rsid w:val="00CC08FB"/>
    <w:rsid w:val="00CC096D"/>
    <w:rsid w:val="00CC0B96"/>
    <w:rsid w:val="00CC0C38"/>
    <w:rsid w:val="00CC0D87"/>
    <w:rsid w:val="00CC0E84"/>
    <w:rsid w:val="00CC0EC7"/>
    <w:rsid w:val="00CC1198"/>
    <w:rsid w:val="00CC13B0"/>
    <w:rsid w:val="00CC196B"/>
    <w:rsid w:val="00CC2B53"/>
    <w:rsid w:val="00CC3295"/>
    <w:rsid w:val="00CC347C"/>
    <w:rsid w:val="00CC4704"/>
    <w:rsid w:val="00CC513B"/>
    <w:rsid w:val="00CC5AAA"/>
    <w:rsid w:val="00CC5CAA"/>
    <w:rsid w:val="00CC713F"/>
    <w:rsid w:val="00CC7818"/>
    <w:rsid w:val="00CC785D"/>
    <w:rsid w:val="00CD0482"/>
    <w:rsid w:val="00CD0845"/>
    <w:rsid w:val="00CD0A6E"/>
    <w:rsid w:val="00CD16C6"/>
    <w:rsid w:val="00CD1CD7"/>
    <w:rsid w:val="00CD1D09"/>
    <w:rsid w:val="00CD232D"/>
    <w:rsid w:val="00CD264E"/>
    <w:rsid w:val="00CD2A8A"/>
    <w:rsid w:val="00CD3515"/>
    <w:rsid w:val="00CD3B2C"/>
    <w:rsid w:val="00CD4179"/>
    <w:rsid w:val="00CD41E5"/>
    <w:rsid w:val="00CD440B"/>
    <w:rsid w:val="00CD441E"/>
    <w:rsid w:val="00CD47E5"/>
    <w:rsid w:val="00CD4B79"/>
    <w:rsid w:val="00CD52FB"/>
    <w:rsid w:val="00CD53A8"/>
    <w:rsid w:val="00CD53DD"/>
    <w:rsid w:val="00CD55D4"/>
    <w:rsid w:val="00CD5897"/>
    <w:rsid w:val="00CD5947"/>
    <w:rsid w:val="00CD5E9A"/>
    <w:rsid w:val="00CD631B"/>
    <w:rsid w:val="00CD700D"/>
    <w:rsid w:val="00CD7624"/>
    <w:rsid w:val="00CD7C10"/>
    <w:rsid w:val="00CD7EE5"/>
    <w:rsid w:val="00CE01B9"/>
    <w:rsid w:val="00CE0532"/>
    <w:rsid w:val="00CE0CFC"/>
    <w:rsid w:val="00CE1426"/>
    <w:rsid w:val="00CE15D5"/>
    <w:rsid w:val="00CE16C1"/>
    <w:rsid w:val="00CE1932"/>
    <w:rsid w:val="00CE1E01"/>
    <w:rsid w:val="00CE1E0E"/>
    <w:rsid w:val="00CE1F64"/>
    <w:rsid w:val="00CE2435"/>
    <w:rsid w:val="00CE276E"/>
    <w:rsid w:val="00CE2A1F"/>
    <w:rsid w:val="00CE2C49"/>
    <w:rsid w:val="00CE3A31"/>
    <w:rsid w:val="00CE42B2"/>
    <w:rsid w:val="00CE42C3"/>
    <w:rsid w:val="00CE480D"/>
    <w:rsid w:val="00CE498A"/>
    <w:rsid w:val="00CE5048"/>
    <w:rsid w:val="00CE517C"/>
    <w:rsid w:val="00CE5580"/>
    <w:rsid w:val="00CE5768"/>
    <w:rsid w:val="00CE668C"/>
    <w:rsid w:val="00CE67DC"/>
    <w:rsid w:val="00CE7B12"/>
    <w:rsid w:val="00CE7B7B"/>
    <w:rsid w:val="00CE7BBF"/>
    <w:rsid w:val="00CF099C"/>
    <w:rsid w:val="00CF0E4F"/>
    <w:rsid w:val="00CF1BBD"/>
    <w:rsid w:val="00CF22C6"/>
    <w:rsid w:val="00CF455C"/>
    <w:rsid w:val="00CF5A4E"/>
    <w:rsid w:val="00CF5DFF"/>
    <w:rsid w:val="00CF5FCD"/>
    <w:rsid w:val="00CF6667"/>
    <w:rsid w:val="00CF6FDD"/>
    <w:rsid w:val="00CF71A9"/>
    <w:rsid w:val="00CF7213"/>
    <w:rsid w:val="00CF782E"/>
    <w:rsid w:val="00CF7DF1"/>
    <w:rsid w:val="00D000FE"/>
    <w:rsid w:val="00D0074C"/>
    <w:rsid w:val="00D00888"/>
    <w:rsid w:val="00D00BAC"/>
    <w:rsid w:val="00D011FF"/>
    <w:rsid w:val="00D0151A"/>
    <w:rsid w:val="00D0176E"/>
    <w:rsid w:val="00D01980"/>
    <w:rsid w:val="00D01B1A"/>
    <w:rsid w:val="00D01D61"/>
    <w:rsid w:val="00D024F9"/>
    <w:rsid w:val="00D02514"/>
    <w:rsid w:val="00D02738"/>
    <w:rsid w:val="00D02845"/>
    <w:rsid w:val="00D02916"/>
    <w:rsid w:val="00D0292E"/>
    <w:rsid w:val="00D03A41"/>
    <w:rsid w:val="00D03D16"/>
    <w:rsid w:val="00D04456"/>
    <w:rsid w:val="00D04534"/>
    <w:rsid w:val="00D04CBB"/>
    <w:rsid w:val="00D05036"/>
    <w:rsid w:val="00D05771"/>
    <w:rsid w:val="00D05AD6"/>
    <w:rsid w:val="00D05B87"/>
    <w:rsid w:val="00D06077"/>
    <w:rsid w:val="00D060ED"/>
    <w:rsid w:val="00D064CF"/>
    <w:rsid w:val="00D065AB"/>
    <w:rsid w:val="00D06FD4"/>
    <w:rsid w:val="00D0740D"/>
    <w:rsid w:val="00D07D0A"/>
    <w:rsid w:val="00D10344"/>
    <w:rsid w:val="00D10AF1"/>
    <w:rsid w:val="00D11011"/>
    <w:rsid w:val="00D1137F"/>
    <w:rsid w:val="00D115AD"/>
    <w:rsid w:val="00D11807"/>
    <w:rsid w:val="00D119FE"/>
    <w:rsid w:val="00D11EF8"/>
    <w:rsid w:val="00D121EA"/>
    <w:rsid w:val="00D12FF2"/>
    <w:rsid w:val="00D1340E"/>
    <w:rsid w:val="00D13C70"/>
    <w:rsid w:val="00D13C91"/>
    <w:rsid w:val="00D15F9C"/>
    <w:rsid w:val="00D160B3"/>
    <w:rsid w:val="00D1646E"/>
    <w:rsid w:val="00D167CD"/>
    <w:rsid w:val="00D17345"/>
    <w:rsid w:val="00D17814"/>
    <w:rsid w:val="00D17A7D"/>
    <w:rsid w:val="00D20134"/>
    <w:rsid w:val="00D209DA"/>
    <w:rsid w:val="00D20BC9"/>
    <w:rsid w:val="00D20D2C"/>
    <w:rsid w:val="00D20D70"/>
    <w:rsid w:val="00D21138"/>
    <w:rsid w:val="00D2122C"/>
    <w:rsid w:val="00D216F5"/>
    <w:rsid w:val="00D21C55"/>
    <w:rsid w:val="00D21DB1"/>
    <w:rsid w:val="00D22C27"/>
    <w:rsid w:val="00D22ED7"/>
    <w:rsid w:val="00D236A3"/>
    <w:rsid w:val="00D23729"/>
    <w:rsid w:val="00D23834"/>
    <w:rsid w:val="00D24260"/>
    <w:rsid w:val="00D245CB"/>
    <w:rsid w:val="00D249E0"/>
    <w:rsid w:val="00D24EF4"/>
    <w:rsid w:val="00D24FC4"/>
    <w:rsid w:val="00D25651"/>
    <w:rsid w:val="00D25709"/>
    <w:rsid w:val="00D2589C"/>
    <w:rsid w:val="00D25960"/>
    <w:rsid w:val="00D25BC3"/>
    <w:rsid w:val="00D25CE8"/>
    <w:rsid w:val="00D2652B"/>
    <w:rsid w:val="00D26570"/>
    <w:rsid w:val="00D268C6"/>
    <w:rsid w:val="00D2695C"/>
    <w:rsid w:val="00D26B4D"/>
    <w:rsid w:val="00D26BE8"/>
    <w:rsid w:val="00D26E21"/>
    <w:rsid w:val="00D2770C"/>
    <w:rsid w:val="00D2771F"/>
    <w:rsid w:val="00D27A41"/>
    <w:rsid w:val="00D27A6C"/>
    <w:rsid w:val="00D305FB"/>
    <w:rsid w:val="00D3075B"/>
    <w:rsid w:val="00D3086B"/>
    <w:rsid w:val="00D3095A"/>
    <w:rsid w:val="00D31540"/>
    <w:rsid w:val="00D318E4"/>
    <w:rsid w:val="00D31F58"/>
    <w:rsid w:val="00D32305"/>
    <w:rsid w:val="00D32692"/>
    <w:rsid w:val="00D32884"/>
    <w:rsid w:val="00D33DD5"/>
    <w:rsid w:val="00D3407D"/>
    <w:rsid w:val="00D34279"/>
    <w:rsid w:val="00D35205"/>
    <w:rsid w:val="00D354AC"/>
    <w:rsid w:val="00D355A5"/>
    <w:rsid w:val="00D35BD1"/>
    <w:rsid w:val="00D3618C"/>
    <w:rsid w:val="00D363D2"/>
    <w:rsid w:val="00D36936"/>
    <w:rsid w:val="00D36A24"/>
    <w:rsid w:val="00D36B1E"/>
    <w:rsid w:val="00D36F55"/>
    <w:rsid w:val="00D375D1"/>
    <w:rsid w:val="00D37741"/>
    <w:rsid w:val="00D403B6"/>
    <w:rsid w:val="00D407FD"/>
    <w:rsid w:val="00D41D6B"/>
    <w:rsid w:val="00D41DED"/>
    <w:rsid w:val="00D42069"/>
    <w:rsid w:val="00D42084"/>
    <w:rsid w:val="00D4252C"/>
    <w:rsid w:val="00D42DD3"/>
    <w:rsid w:val="00D432BB"/>
    <w:rsid w:val="00D4360E"/>
    <w:rsid w:val="00D4388D"/>
    <w:rsid w:val="00D44514"/>
    <w:rsid w:val="00D44845"/>
    <w:rsid w:val="00D4487F"/>
    <w:rsid w:val="00D44AC3"/>
    <w:rsid w:val="00D44B33"/>
    <w:rsid w:val="00D45349"/>
    <w:rsid w:val="00D454BD"/>
    <w:rsid w:val="00D45C95"/>
    <w:rsid w:val="00D45F23"/>
    <w:rsid w:val="00D47246"/>
    <w:rsid w:val="00D47A08"/>
    <w:rsid w:val="00D47C3D"/>
    <w:rsid w:val="00D47C65"/>
    <w:rsid w:val="00D500D0"/>
    <w:rsid w:val="00D50282"/>
    <w:rsid w:val="00D50569"/>
    <w:rsid w:val="00D5078D"/>
    <w:rsid w:val="00D508A6"/>
    <w:rsid w:val="00D5144C"/>
    <w:rsid w:val="00D5175B"/>
    <w:rsid w:val="00D52091"/>
    <w:rsid w:val="00D52323"/>
    <w:rsid w:val="00D52736"/>
    <w:rsid w:val="00D53071"/>
    <w:rsid w:val="00D5316A"/>
    <w:rsid w:val="00D53795"/>
    <w:rsid w:val="00D53F84"/>
    <w:rsid w:val="00D54C62"/>
    <w:rsid w:val="00D54C9C"/>
    <w:rsid w:val="00D54EB5"/>
    <w:rsid w:val="00D551F5"/>
    <w:rsid w:val="00D554CF"/>
    <w:rsid w:val="00D5577F"/>
    <w:rsid w:val="00D55BE7"/>
    <w:rsid w:val="00D55E10"/>
    <w:rsid w:val="00D55E59"/>
    <w:rsid w:val="00D560B1"/>
    <w:rsid w:val="00D56106"/>
    <w:rsid w:val="00D5624B"/>
    <w:rsid w:val="00D56333"/>
    <w:rsid w:val="00D56353"/>
    <w:rsid w:val="00D569E7"/>
    <w:rsid w:val="00D56B97"/>
    <w:rsid w:val="00D57741"/>
    <w:rsid w:val="00D57B0A"/>
    <w:rsid w:val="00D57BCF"/>
    <w:rsid w:val="00D57BF5"/>
    <w:rsid w:val="00D57EF7"/>
    <w:rsid w:val="00D57F67"/>
    <w:rsid w:val="00D57FFC"/>
    <w:rsid w:val="00D6076B"/>
    <w:rsid w:val="00D607BC"/>
    <w:rsid w:val="00D60CAC"/>
    <w:rsid w:val="00D60CFC"/>
    <w:rsid w:val="00D61E58"/>
    <w:rsid w:val="00D6231D"/>
    <w:rsid w:val="00D62456"/>
    <w:rsid w:val="00D62768"/>
    <w:rsid w:val="00D63933"/>
    <w:rsid w:val="00D63A83"/>
    <w:rsid w:val="00D63DD6"/>
    <w:rsid w:val="00D641DB"/>
    <w:rsid w:val="00D64BB0"/>
    <w:rsid w:val="00D65A9A"/>
    <w:rsid w:val="00D65BE8"/>
    <w:rsid w:val="00D65CFA"/>
    <w:rsid w:val="00D65F68"/>
    <w:rsid w:val="00D662A0"/>
    <w:rsid w:val="00D662EF"/>
    <w:rsid w:val="00D664B4"/>
    <w:rsid w:val="00D66C7F"/>
    <w:rsid w:val="00D679D8"/>
    <w:rsid w:val="00D67A2B"/>
    <w:rsid w:val="00D7066F"/>
    <w:rsid w:val="00D7090A"/>
    <w:rsid w:val="00D71134"/>
    <w:rsid w:val="00D711D1"/>
    <w:rsid w:val="00D718F9"/>
    <w:rsid w:val="00D7198E"/>
    <w:rsid w:val="00D720BE"/>
    <w:rsid w:val="00D7242A"/>
    <w:rsid w:val="00D72565"/>
    <w:rsid w:val="00D72897"/>
    <w:rsid w:val="00D72AD9"/>
    <w:rsid w:val="00D72BB5"/>
    <w:rsid w:val="00D730CB"/>
    <w:rsid w:val="00D733D3"/>
    <w:rsid w:val="00D736BE"/>
    <w:rsid w:val="00D73A15"/>
    <w:rsid w:val="00D73ACE"/>
    <w:rsid w:val="00D7462F"/>
    <w:rsid w:val="00D74E67"/>
    <w:rsid w:val="00D74FD9"/>
    <w:rsid w:val="00D75250"/>
    <w:rsid w:val="00D7561C"/>
    <w:rsid w:val="00D75892"/>
    <w:rsid w:val="00D75DA2"/>
    <w:rsid w:val="00D761EA"/>
    <w:rsid w:val="00D763AF"/>
    <w:rsid w:val="00D765F2"/>
    <w:rsid w:val="00D76C0D"/>
    <w:rsid w:val="00D76CFA"/>
    <w:rsid w:val="00D77404"/>
    <w:rsid w:val="00D7745B"/>
    <w:rsid w:val="00D776C2"/>
    <w:rsid w:val="00D779D9"/>
    <w:rsid w:val="00D77D91"/>
    <w:rsid w:val="00D808B6"/>
    <w:rsid w:val="00D8094B"/>
    <w:rsid w:val="00D80DE0"/>
    <w:rsid w:val="00D818FC"/>
    <w:rsid w:val="00D81BA7"/>
    <w:rsid w:val="00D81D3A"/>
    <w:rsid w:val="00D81F3E"/>
    <w:rsid w:val="00D82254"/>
    <w:rsid w:val="00D827EC"/>
    <w:rsid w:val="00D8287F"/>
    <w:rsid w:val="00D828E7"/>
    <w:rsid w:val="00D85039"/>
    <w:rsid w:val="00D8527C"/>
    <w:rsid w:val="00D8551E"/>
    <w:rsid w:val="00D86BCD"/>
    <w:rsid w:val="00D86CA9"/>
    <w:rsid w:val="00D86F5D"/>
    <w:rsid w:val="00D871E8"/>
    <w:rsid w:val="00D87A7C"/>
    <w:rsid w:val="00D87AA2"/>
    <w:rsid w:val="00D90328"/>
    <w:rsid w:val="00D905FA"/>
    <w:rsid w:val="00D906ED"/>
    <w:rsid w:val="00D90C90"/>
    <w:rsid w:val="00D912A6"/>
    <w:rsid w:val="00D915FE"/>
    <w:rsid w:val="00D91F19"/>
    <w:rsid w:val="00D92108"/>
    <w:rsid w:val="00D922C5"/>
    <w:rsid w:val="00D9270F"/>
    <w:rsid w:val="00D92CEC"/>
    <w:rsid w:val="00D92F1B"/>
    <w:rsid w:val="00D93210"/>
    <w:rsid w:val="00D933C3"/>
    <w:rsid w:val="00D937D8"/>
    <w:rsid w:val="00D94525"/>
    <w:rsid w:val="00D9458A"/>
    <w:rsid w:val="00D945DC"/>
    <w:rsid w:val="00D94675"/>
    <w:rsid w:val="00D94840"/>
    <w:rsid w:val="00D949D6"/>
    <w:rsid w:val="00D94B32"/>
    <w:rsid w:val="00D94D52"/>
    <w:rsid w:val="00D9574C"/>
    <w:rsid w:val="00D95E3F"/>
    <w:rsid w:val="00D95FEB"/>
    <w:rsid w:val="00D965DB"/>
    <w:rsid w:val="00D96E44"/>
    <w:rsid w:val="00D97061"/>
    <w:rsid w:val="00D97945"/>
    <w:rsid w:val="00D97C07"/>
    <w:rsid w:val="00DA0475"/>
    <w:rsid w:val="00DA0BC9"/>
    <w:rsid w:val="00DA0DDE"/>
    <w:rsid w:val="00DA0E40"/>
    <w:rsid w:val="00DA1C72"/>
    <w:rsid w:val="00DA1CBF"/>
    <w:rsid w:val="00DA1F0A"/>
    <w:rsid w:val="00DA269A"/>
    <w:rsid w:val="00DA2F06"/>
    <w:rsid w:val="00DA30A3"/>
    <w:rsid w:val="00DA364B"/>
    <w:rsid w:val="00DA3683"/>
    <w:rsid w:val="00DA3D61"/>
    <w:rsid w:val="00DA3F5A"/>
    <w:rsid w:val="00DA55C0"/>
    <w:rsid w:val="00DA57D6"/>
    <w:rsid w:val="00DA5BD7"/>
    <w:rsid w:val="00DA5EF1"/>
    <w:rsid w:val="00DA62F5"/>
    <w:rsid w:val="00DA62F7"/>
    <w:rsid w:val="00DA6B12"/>
    <w:rsid w:val="00DA6FD0"/>
    <w:rsid w:val="00DA7370"/>
    <w:rsid w:val="00DB0235"/>
    <w:rsid w:val="00DB02EE"/>
    <w:rsid w:val="00DB06EB"/>
    <w:rsid w:val="00DB0902"/>
    <w:rsid w:val="00DB1538"/>
    <w:rsid w:val="00DB1F21"/>
    <w:rsid w:val="00DB2369"/>
    <w:rsid w:val="00DB2BD8"/>
    <w:rsid w:val="00DB335D"/>
    <w:rsid w:val="00DB365F"/>
    <w:rsid w:val="00DB3752"/>
    <w:rsid w:val="00DB444C"/>
    <w:rsid w:val="00DB55AD"/>
    <w:rsid w:val="00DB57B9"/>
    <w:rsid w:val="00DB5A59"/>
    <w:rsid w:val="00DB5BE9"/>
    <w:rsid w:val="00DB6558"/>
    <w:rsid w:val="00DB6851"/>
    <w:rsid w:val="00DB68E2"/>
    <w:rsid w:val="00DB6D07"/>
    <w:rsid w:val="00DB71AB"/>
    <w:rsid w:val="00DB72D6"/>
    <w:rsid w:val="00DC0114"/>
    <w:rsid w:val="00DC014D"/>
    <w:rsid w:val="00DC0D44"/>
    <w:rsid w:val="00DC0FC9"/>
    <w:rsid w:val="00DC125E"/>
    <w:rsid w:val="00DC14AA"/>
    <w:rsid w:val="00DC16B9"/>
    <w:rsid w:val="00DC174C"/>
    <w:rsid w:val="00DC1D03"/>
    <w:rsid w:val="00DC1F2D"/>
    <w:rsid w:val="00DC2E11"/>
    <w:rsid w:val="00DC3A2B"/>
    <w:rsid w:val="00DC4832"/>
    <w:rsid w:val="00DC5429"/>
    <w:rsid w:val="00DC5F94"/>
    <w:rsid w:val="00DC620C"/>
    <w:rsid w:val="00DC662C"/>
    <w:rsid w:val="00DC68E6"/>
    <w:rsid w:val="00DC6E3F"/>
    <w:rsid w:val="00DC706A"/>
    <w:rsid w:val="00DC73A9"/>
    <w:rsid w:val="00DC7582"/>
    <w:rsid w:val="00DC7586"/>
    <w:rsid w:val="00DC7B76"/>
    <w:rsid w:val="00DC7CF1"/>
    <w:rsid w:val="00DC7E51"/>
    <w:rsid w:val="00DD0388"/>
    <w:rsid w:val="00DD0A12"/>
    <w:rsid w:val="00DD0C75"/>
    <w:rsid w:val="00DD10E3"/>
    <w:rsid w:val="00DD1246"/>
    <w:rsid w:val="00DD19AD"/>
    <w:rsid w:val="00DD1A9A"/>
    <w:rsid w:val="00DD202F"/>
    <w:rsid w:val="00DD20B4"/>
    <w:rsid w:val="00DD2583"/>
    <w:rsid w:val="00DD2A09"/>
    <w:rsid w:val="00DD2B19"/>
    <w:rsid w:val="00DD2C08"/>
    <w:rsid w:val="00DD30FA"/>
    <w:rsid w:val="00DD328A"/>
    <w:rsid w:val="00DD3898"/>
    <w:rsid w:val="00DD39DD"/>
    <w:rsid w:val="00DD3D5C"/>
    <w:rsid w:val="00DD3FB9"/>
    <w:rsid w:val="00DD414F"/>
    <w:rsid w:val="00DD5978"/>
    <w:rsid w:val="00DD6790"/>
    <w:rsid w:val="00DD6C0E"/>
    <w:rsid w:val="00DD6C1F"/>
    <w:rsid w:val="00DD70F1"/>
    <w:rsid w:val="00DD7208"/>
    <w:rsid w:val="00DD723F"/>
    <w:rsid w:val="00DD7559"/>
    <w:rsid w:val="00DD76CA"/>
    <w:rsid w:val="00DD7B42"/>
    <w:rsid w:val="00DE038C"/>
    <w:rsid w:val="00DE0ECA"/>
    <w:rsid w:val="00DE1158"/>
    <w:rsid w:val="00DE1C12"/>
    <w:rsid w:val="00DE21E0"/>
    <w:rsid w:val="00DE23AC"/>
    <w:rsid w:val="00DE2E03"/>
    <w:rsid w:val="00DE3159"/>
    <w:rsid w:val="00DE3358"/>
    <w:rsid w:val="00DE3569"/>
    <w:rsid w:val="00DE3DFE"/>
    <w:rsid w:val="00DE4A40"/>
    <w:rsid w:val="00DE546E"/>
    <w:rsid w:val="00DE54CF"/>
    <w:rsid w:val="00DE552E"/>
    <w:rsid w:val="00DE5853"/>
    <w:rsid w:val="00DE6390"/>
    <w:rsid w:val="00DE649F"/>
    <w:rsid w:val="00DE6575"/>
    <w:rsid w:val="00DE66AD"/>
    <w:rsid w:val="00DE67CA"/>
    <w:rsid w:val="00DE6A77"/>
    <w:rsid w:val="00DE6B16"/>
    <w:rsid w:val="00DE6B29"/>
    <w:rsid w:val="00DE6D64"/>
    <w:rsid w:val="00DE6FC3"/>
    <w:rsid w:val="00DE7224"/>
    <w:rsid w:val="00DF0ED3"/>
    <w:rsid w:val="00DF0F3A"/>
    <w:rsid w:val="00DF1275"/>
    <w:rsid w:val="00DF1521"/>
    <w:rsid w:val="00DF15F9"/>
    <w:rsid w:val="00DF187E"/>
    <w:rsid w:val="00DF27B1"/>
    <w:rsid w:val="00DF28EF"/>
    <w:rsid w:val="00DF363D"/>
    <w:rsid w:val="00DF397E"/>
    <w:rsid w:val="00DF3C90"/>
    <w:rsid w:val="00DF4730"/>
    <w:rsid w:val="00DF4745"/>
    <w:rsid w:val="00DF491A"/>
    <w:rsid w:val="00DF5070"/>
    <w:rsid w:val="00DF549A"/>
    <w:rsid w:val="00DF54EA"/>
    <w:rsid w:val="00DF5A2E"/>
    <w:rsid w:val="00DF673E"/>
    <w:rsid w:val="00DF69E7"/>
    <w:rsid w:val="00DF6DD1"/>
    <w:rsid w:val="00DF6E39"/>
    <w:rsid w:val="00DF70E9"/>
    <w:rsid w:val="00DF758E"/>
    <w:rsid w:val="00DF77BD"/>
    <w:rsid w:val="00E00158"/>
    <w:rsid w:val="00E005FC"/>
    <w:rsid w:val="00E00A1E"/>
    <w:rsid w:val="00E01C9C"/>
    <w:rsid w:val="00E01E82"/>
    <w:rsid w:val="00E025FF"/>
    <w:rsid w:val="00E027E1"/>
    <w:rsid w:val="00E0296D"/>
    <w:rsid w:val="00E02C94"/>
    <w:rsid w:val="00E030D1"/>
    <w:rsid w:val="00E03D86"/>
    <w:rsid w:val="00E03DE6"/>
    <w:rsid w:val="00E045CF"/>
    <w:rsid w:val="00E04833"/>
    <w:rsid w:val="00E04B0A"/>
    <w:rsid w:val="00E05FE2"/>
    <w:rsid w:val="00E063B6"/>
    <w:rsid w:val="00E0656A"/>
    <w:rsid w:val="00E06E23"/>
    <w:rsid w:val="00E071F1"/>
    <w:rsid w:val="00E0767D"/>
    <w:rsid w:val="00E07754"/>
    <w:rsid w:val="00E07757"/>
    <w:rsid w:val="00E07C16"/>
    <w:rsid w:val="00E101D9"/>
    <w:rsid w:val="00E107D5"/>
    <w:rsid w:val="00E108AA"/>
    <w:rsid w:val="00E1092D"/>
    <w:rsid w:val="00E10A5A"/>
    <w:rsid w:val="00E10CE5"/>
    <w:rsid w:val="00E10D1C"/>
    <w:rsid w:val="00E10FD5"/>
    <w:rsid w:val="00E11A24"/>
    <w:rsid w:val="00E11EEE"/>
    <w:rsid w:val="00E1277F"/>
    <w:rsid w:val="00E12EF6"/>
    <w:rsid w:val="00E13718"/>
    <w:rsid w:val="00E14139"/>
    <w:rsid w:val="00E142B3"/>
    <w:rsid w:val="00E143A2"/>
    <w:rsid w:val="00E14793"/>
    <w:rsid w:val="00E14931"/>
    <w:rsid w:val="00E149FC"/>
    <w:rsid w:val="00E14BF0"/>
    <w:rsid w:val="00E14FCA"/>
    <w:rsid w:val="00E1569B"/>
    <w:rsid w:val="00E16219"/>
    <w:rsid w:val="00E16A9F"/>
    <w:rsid w:val="00E16ACE"/>
    <w:rsid w:val="00E171C5"/>
    <w:rsid w:val="00E175DE"/>
    <w:rsid w:val="00E176F4"/>
    <w:rsid w:val="00E2059B"/>
    <w:rsid w:val="00E20A86"/>
    <w:rsid w:val="00E20E39"/>
    <w:rsid w:val="00E2162A"/>
    <w:rsid w:val="00E21942"/>
    <w:rsid w:val="00E22332"/>
    <w:rsid w:val="00E2245E"/>
    <w:rsid w:val="00E2248D"/>
    <w:rsid w:val="00E22BC7"/>
    <w:rsid w:val="00E23B90"/>
    <w:rsid w:val="00E23C14"/>
    <w:rsid w:val="00E23E24"/>
    <w:rsid w:val="00E242FC"/>
    <w:rsid w:val="00E246E5"/>
    <w:rsid w:val="00E24B2C"/>
    <w:rsid w:val="00E24D04"/>
    <w:rsid w:val="00E258EA"/>
    <w:rsid w:val="00E26416"/>
    <w:rsid w:val="00E26F4F"/>
    <w:rsid w:val="00E3014C"/>
    <w:rsid w:val="00E301DE"/>
    <w:rsid w:val="00E305E4"/>
    <w:rsid w:val="00E308DB"/>
    <w:rsid w:val="00E30A79"/>
    <w:rsid w:val="00E31120"/>
    <w:rsid w:val="00E3118C"/>
    <w:rsid w:val="00E318C1"/>
    <w:rsid w:val="00E3256A"/>
    <w:rsid w:val="00E3297E"/>
    <w:rsid w:val="00E32F97"/>
    <w:rsid w:val="00E32FF4"/>
    <w:rsid w:val="00E333AF"/>
    <w:rsid w:val="00E335F4"/>
    <w:rsid w:val="00E337D6"/>
    <w:rsid w:val="00E338D7"/>
    <w:rsid w:val="00E33B0A"/>
    <w:rsid w:val="00E343CE"/>
    <w:rsid w:val="00E346AB"/>
    <w:rsid w:val="00E34B41"/>
    <w:rsid w:val="00E353CC"/>
    <w:rsid w:val="00E35FB3"/>
    <w:rsid w:val="00E370C6"/>
    <w:rsid w:val="00E3754C"/>
    <w:rsid w:val="00E3785A"/>
    <w:rsid w:val="00E378BC"/>
    <w:rsid w:val="00E378D3"/>
    <w:rsid w:val="00E379BD"/>
    <w:rsid w:val="00E37D54"/>
    <w:rsid w:val="00E37F3A"/>
    <w:rsid w:val="00E4082B"/>
    <w:rsid w:val="00E40DA0"/>
    <w:rsid w:val="00E4196D"/>
    <w:rsid w:val="00E419C4"/>
    <w:rsid w:val="00E42263"/>
    <w:rsid w:val="00E428AC"/>
    <w:rsid w:val="00E43745"/>
    <w:rsid w:val="00E43C23"/>
    <w:rsid w:val="00E446C7"/>
    <w:rsid w:val="00E446F2"/>
    <w:rsid w:val="00E45429"/>
    <w:rsid w:val="00E45488"/>
    <w:rsid w:val="00E4564D"/>
    <w:rsid w:val="00E456C6"/>
    <w:rsid w:val="00E45A62"/>
    <w:rsid w:val="00E45C8E"/>
    <w:rsid w:val="00E45E24"/>
    <w:rsid w:val="00E462B8"/>
    <w:rsid w:val="00E463D7"/>
    <w:rsid w:val="00E47929"/>
    <w:rsid w:val="00E47B17"/>
    <w:rsid w:val="00E50153"/>
    <w:rsid w:val="00E50D70"/>
    <w:rsid w:val="00E50F07"/>
    <w:rsid w:val="00E51EDF"/>
    <w:rsid w:val="00E5247B"/>
    <w:rsid w:val="00E52611"/>
    <w:rsid w:val="00E52788"/>
    <w:rsid w:val="00E528AF"/>
    <w:rsid w:val="00E52AE0"/>
    <w:rsid w:val="00E52EFB"/>
    <w:rsid w:val="00E530B3"/>
    <w:rsid w:val="00E53708"/>
    <w:rsid w:val="00E53D4C"/>
    <w:rsid w:val="00E53EB6"/>
    <w:rsid w:val="00E54419"/>
    <w:rsid w:val="00E54B79"/>
    <w:rsid w:val="00E5550C"/>
    <w:rsid w:val="00E55D49"/>
    <w:rsid w:val="00E561BC"/>
    <w:rsid w:val="00E562C2"/>
    <w:rsid w:val="00E562DC"/>
    <w:rsid w:val="00E565BB"/>
    <w:rsid w:val="00E56CC8"/>
    <w:rsid w:val="00E56D85"/>
    <w:rsid w:val="00E56ED9"/>
    <w:rsid w:val="00E570E1"/>
    <w:rsid w:val="00E57B33"/>
    <w:rsid w:val="00E57BED"/>
    <w:rsid w:val="00E6004E"/>
    <w:rsid w:val="00E6085E"/>
    <w:rsid w:val="00E608FF"/>
    <w:rsid w:val="00E60C66"/>
    <w:rsid w:val="00E61167"/>
    <w:rsid w:val="00E6193F"/>
    <w:rsid w:val="00E61CC7"/>
    <w:rsid w:val="00E61DE5"/>
    <w:rsid w:val="00E624FE"/>
    <w:rsid w:val="00E628D6"/>
    <w:rsid w:val="00E62DD1"/>
    <w:rsid w:val="00E62F71"/>
    <w:rsid w:val="00E630A8"/>
    <w:rsid w:val="00E630C7"/>
    <w:rsid w:val="00E635D2"/>
    <w:rsid w:val="00E63778"/>
    <w:rsid w:val="00E63AB4"/>
    <w:rsid w:val="00E63DD1"/>
    <w:rsid w:val="00E63EBD"/>
    <w:rsid w:val="00E63F01"/>
    <w:rsid w:val="00E64619"/>
    <w:rsid w:val="00E648CE"/>
    <w:rsid w:val="00E65192"/>
    <w:rsid w:val="00E657F6"/>
    <w:rsid w:val="00E65D05"/>
    <w:rsid w:val="00E6635A"/>
    <w:rsid w:val="00E66AF8"/>
    <w:rsid w:val="00E66E34"/>
    <w:rsid w:val="00E6711A"/>
    <w:rsid w:val="00E67A80"/>
    <w:rsid w:val="00E67F2F"/>
    <w:rsid w:val="00E67FF8"/>
    <w:rsid w:val="00E701DE"/>
    <w:rsid w:val="00E702D0"/>
    <w:rsid w:val="00E70ECA"/>
    <w:rsid w:val="00E7109D"/>
    <w:rsid w:val="00E71601"/>
    <w:rsid w:val="00E717E0"/>
    <w:rsid w:val="00E71878"/>
    <w:rsid w:val="00E71ED3"/>
    <w:rsid w:val="00E7272E"/>
    <w:rsid w:val="00E7298E"/>
    <w:rsid w:val="00E72EFC"/>
    <w:rsid w:val="00E736A3"/>
    <w:rsid w:val="00E73F21"/>
    <w:rsid w:val="00E74757"/>
    <w:rsid w:val="00E74C63"/>
    <w:rsid w:val="00E7511C"/>
    <w:rsid w:val="00E75567"/>
    <w:rsid w:val="00E75847"/>
    <w:rsid w:val="00E75973"/>
    <w:rsid w:val="00E75B93"/>
    <w:rsid w:val="00E75DFD"/>
    <w:rsid w:val="00E75F70"/>
    <w:rsid w:val="00E760A6"/>
    <w:rsid w:val="00E76595"/>
    <w:rsid w:val="00E76DEA"/>
    <w:rsid w:val="00E76EFA"/>
    <w:rsid w:val="00E77A85"/>
    <w:rsid w:val="00E80245"/>
    <w:rsid w:val="00E804EA"/>
    <w:rsid w:val="00E80ACB"/>
    <w:rsid w:val="00E80F3A"/>
    <w:rsid w:val="00E810B0"/>
    <w:rsid w:val="00E813C0"/>
    <w:rsid w:val="00E81424"/>
    <w:rsid w:val="00E814FA"/>
    <w:rsid w:val="00E81B2E"/>
    <w:rsid w:val="00E81F3A"/>
    <w:rsid w:val="00E82ACA"/>
    <w:rsid w:val="00E82C12"/>
    <w:rsid w:val="00E833A7"/>
    <w:rsid w:val="00E835B7"/>
    <w:rsid w:val="00E836B5"/>
    <w:rsid w:val="00E83E01"/>
    <w:rsid w:val="00E83EDA"/>
    <w:rsid w:val="00E842C2"/>
    <w:rsid w:val="00E84448"/>
    <w:rsid w:val="00E8458F"/>
    <w:rsid w:val="00E845A1"/>
    <w:rsid w:val="00E84655"/>
    <w:rsid w:val="00E84DBD"/>
    <w:rsid w:val="00E85210"/>
    <w:rsid w:val="00E85236"/>
    <w:rsid w:val="00E85DF2"/>
    <w:rsid w:val="00E87330"/>
    <w:rsid w:val="00E873A1"/>
    <w:rsid w:val="00E87440"/>
    <w:rsid w:val="00E87859"/>
    <w:rsid w:val="00E87DD0"/>
    <w:rsid w:val="00E9034C"/>
    <w:rsid w:val="00E90557"/>
    <w:rsid w:val="00E905BE"/>
    <w:rsid w:val="00E91FF1"/>
    <w:rsid w:val="00E9267D"/>
    <w:rsid w:val="00E92CC0"/>
    <w:rsid w:val="00E9345B"/>
    <w:rsid w:val="00E937CA"/>
    <w:rsid w:val="00E93B51"/>
    <w:rsid w:val="00E93C24"/>
    <w:rsid w:val="00E944BD"/>
    <w:rsid w:val="00E949FD"/>
    <w:rsid w:val="00E94C66"/>
    <w:rsid w:val="00E95A45"/>
    <w:rsid w:val="00E95B64"/>
    <w:rsid w:val="00E95E7D"/>
    <w:rsid w:val="00E9605F"/>
    <w:rsid w:val="00E968A8"/>
    <w:rsid w:val="00E97E33"/>
    <w:rsid w:val="00E97F75"/>
    <w:rsid w:val="00EA035B"/>
    <w:rsid w:val="00EA07AF"/>
    <w:rsid w:val="00EA0C4C"/>
    <w:rsid w:val="00EA0F51"/>
    <w:rsid w:val="00EA1131"/>
    <w:rsid w:val="00EA19A9"/>
    <w:rsid w:val="00EA1AE3"/>
    <w:rsid w:val="00EA1C03"/>
    <w:rsid w:val="00EA2376"/>
    <w:rsid w:val="00EA28AA"/>
    <w:rsid w:val="00EA2964"/>
    <w:rsid w:val="00EA2F4B"/>
    <w:rsid w:val="00EA310C"/>
    <w:rsid w:val="00EA32E4"/>
    <w:rsid w:val="00EA34E8"/>
    <w:rsid w:val="00EA3822"/>
    <w:rsid w:val="00EA3EA5"/>
    <w:rsid w:val="00EA3EB0"/>
    <w:rsid w:val="00EA4E2E"/>
    <w:rsid w:val="00EA5192"/>
    <w:rsid w:val="00EA5375"/>
    <w:rsid w:val="00EA5702"/>
    <w:rsid w:val="00EA6A66"/>
    <w:rsid w:val="00EA6DA4"/>
    <w:rsid w:val="00EA71AC"/>
    <w:rsid w:val="00EA79B4"/>
    <w:rsid w:val="00EA7ACE"/>
    <w:rsid w:val="00EA7CAB"/>
    <w:rsid w:val="00EB00B3"/>
    <w:rsid w:val="00EB026F"/>
    <w:rsid w:val="00EB0563"/>
    <w:rsid w:val="00EB058C"/>
    <w:rsid w:val="00EB0EC4"/>
    <w:rsid w:val="00EB182F"/>
    <w:rsid w:val="00EB2365"/>
    <w:rsid w:val="00EB2C0B"/>
    <w:rsid w:val="00EB2C7D"/>
    <w:rsid w:val="00EB2D3E"/>
    <w:rsid w:val="00EB2E08"/>
    <w:rsid w:val="00EB30A9"/>
    <w:rsid w:val="00EB3FDE"/>
    <w:rsid w:val="00EB42DC"/>
    <w:rsid w:val="00EB482B"/>
    <w:rsid w:val="00EB4BD5"/>
    <w:rsid w:val="00EB5A8C"/>
    <w:rsid w:val="00EB601D"/>
    <w:rsid w:val="00EB604F"/>
    <w:rsid w:val="00EB629E"/>
    <w:rsid w:val="00EB7500"/>
    <w:rsid w:val="00EB7C9B"/>
    <w:rsid w:val="00EC0098"/>
    <w:rsid w:val="00EC0A2A"/>
    <w:rsid w:val="00EC0F7E"/>
    <w:rsid w:val="00EC1378"/>
    <w:rsid w:val="00EC13C1"/>
    <w:rsid w:val="00EC19E5"/>
    <w:rsid w:val="00EC1E8F"/>
    <w:rsid w:val="00EC208D"/>
    <w:rsid w:val="00EC21C2"/>
    <w:rsid w:val="00EC21CD"/>
    <w:rsid w:val="00EC2727"/>
    <w:rsid w:val="00EC2E2E"/>
    <w:rsid w:val="00EC3797"/>
    <w:rsid w:val="00EC3DA4"/>
    <w:rsid w:val="00EC3FE4"/>
    <w:rsid w:val="00EC4902"/>
    <w:rsid w:val="00EC4DC9"/>
    <w:rsid w:val="00EC4FCD"/>
    <w:rsid w:val="00EC4FFC"/>
    <w:rsid w:val="00EC54D5"/>
    <w:rsid w:val="00EC580D"/>
    <w:rsid w:val="00EC59BF"/>
    <w:rsid w:val="00EC5F40"/>
    <w:rsid w:val="00EC723E"/>
    <w:rsid w:val="00EC73B6"/>
    <w:rsid w:val="00EC74D0"/>
    <w:rsid w:val="00EC777A"/>
    <w:rsid w:val="00EC77CD"/>
    <w:rsid w:val="00EC77FE"/>
    <w:rsid w:val="00ED06C8"/>
    <w:rsid w:val="00ED2073"/>
    <w:rsid w:val="00ED2B8A"/>
    <w:rsid w:val="00ED30B9"/>
    <w:rsid w:val="00ED3397"/>
    <w:rsid w:val="00ED3748"/>
    <w:rsid w:val="00ED3BE2"/>
    <w:rsid w:val="00ED3C4C"/>
    <w:rsid w:val="00ED4235"/>
    <w:rsid w:val="00ED4668"/>
    <w:rsid w:val="00ED47B0"/>
    <w:rsid w:val="00ED4BDB"/>
    <w:rsid w:val="00ED529F"/>
    <w:rsid w:val="00ED5844"/>
    <w:rsid w:val="00ED606A"/>
    <w:rsid w:val="00ED69DE"/>
    <w:rsid w:val="00ED6EE4"/>
    <w:rsid w:val="00ED6F39"/>
    <w:rsid w:val="00ED722D"/>
    <w:rsid w:val="00ED73B6"/>
    <w:rsid w:val="00ED750A"/>
    <w:rsid w:val="00ED7909"/>
    <w:rsid w:val="00ED7BC9"/>
    <w:rsid w:val="00ED7D9E"/>
    <w:rsid w:val="00EE0537"/>
    <w:rsid w:val="00EE0B9A"/>
    <w:rsid w:val="00EE1AC6"/>
    <w:rsid w:val="00EE1BD3"/>
    <w:rsid w:val="00EE20A1"/>
    <w:rsid w:val="00EE2185"/>
    <w:rsid w:val="00EE241F"/>
    <w:rsid w:val="00EE249A"/>
    <w:rsid w:val="00EE26A5"/>
    <w:rsid w:val="00EE2825"/>
    <w:rsid w:val="00EE2BBB"/>
    <w:rsid w:val="00EE3D64"/>
    <w:rsid w:val="00EE432F"/>
    <w:rsid w:val="00EE49DB"/>
    <w:rsid w:val="00EE5498"/>
    <w:rsid w:val="00EE54FE"/>
    <w:rsid w:val="00EE6076"/>
    <w:rsid w:val="00EE622E"/>
    <w:rsid w:val="00EE6BA7"/>
    <w:rsid w:val="00EE7052"/>
    <w:rsid w:val="00EF0037"/>
    <w:rsid w:val="00EF0306"/>
    <w:rsid w:val="00EF0827"/>
    <w:rsid w:val="00EF1659"/>
    <w:rsid w:val="00EF1859"/>
    <w:rsid w:val="00EF1AD2"/>
    <w:rsid w:val="00EF1D84"/>
    <w:rsid w:val="00EF21B1"/>
    <w:rsid w:val="00EF23AD"/>
    <w:rsid w:val="00EF23DB"/>
    <w:rsid w:val="00EF365C"/>
    <w:rsid w:val="00EF3735"/>
    <w:rsid w:val="00EF3E3C"/>
    <w:rsid w:val="00EF43E8"/>
    <w:rsid w:val="00EF4747"/>
    <w:rsid w:val="00EF5126"/>
    <w:rsid w:val="00EF51B0"/>
    <w:rsid w:val="00EF5C92"/>
    <w:rsid w:val="00EF61BA"/>
    <w:rsid w:val="00EF65B5"/>
    <w:rsid w:val="00EF68E3"/>
    <w:rsid w:val="00EF6CC7"/>
    <w:rsid w:val="00EF6ECF"/>
    <w:rsid w:val="00EF73E2"/>
    <w:rsid w:val="00EF7626"/>
    <w:rsid w:val="00EF7C1C"/>
    <w:rsid w:val="00EF7DD6"/>
    <w:rsid w:val="00F005B5"/>
    <w:rsid w:val="00F01634"/>
    <w:rsid w:val="00F01762"/>
    <w:rsid w:val="00F01916"/>
    <w:rsid w:val="00F01A86"/>
    <w:rsid w:val="00F022DD"/>
    <w:rsid w:val="00F026BA"/>
    <w:rsid w:val="00F029D1"/>
    <w:rsid w:val="00F0338A"/>
    <w:rsid w:val="00F0355F"/>
    <w:rsid w:val="00F03D7F"/>
    <w:rsid w:val="00F0405B"/>
    <w:rsid w:val="00F0523C"/>
    <w:rsid w:val="00F05399"/>
    <w:rsid w:val="00F05C77"/>
    <w:rsid w:val="00F05F6F"/>
    <w:rsid w:val="00F06282"/>
    <w:rsid w:val="00F062BE"/>
    <w:rsid w:val="00F0677C"/>
    <w:rsid w:val="00F06F7F"/>
    <w:rsid w:val="00F0764F"/>
    <w:rsid w:val="00F0798B"/>
    <w:rsid w:val="00F07A10"/>
    <w:rsid w:val="00F07C2F"/>
    <w:rsid w:val="00F07C78"/>
    <w:rsid w:val="00F1001F"/>
    <w:rsid w:val="00F101AB"/>
    <w:rsid w:val="00F105D4"/>
    <w:rsid w:val="00F10885"/>
    <w:rsid w:val="00F110F3"/>
    <w:rsid w:val="00F11334"/>
    <w:rsid w:val="00F1165A"/>
    <w:rsid w:val="00F11B44"/>
    <w:rsid w:val="00F11BED"/>
    <w:rsid w:val="00F11C2F"/>
    <w:rsid w:val="00F11E8F"/>
    <w:rsid w:val="00F12414"/>
    <w:rsid w:val="00F126BC"/>
    <w:rsid w:val="00F12742"/>
    <w:rsid w:val="00F12966"/>
    <w:rsid w:val="00F12C18"/>
    <w:rsid w:val="00F12F2F"/>
    <w:rsid w:val="00F1304A"/>
    <w:rsid w:val="00F134D3"/>
    <w:rsid w:val="00F1350D"/>
    <w:rsid w:val="00F1369F"/>
    <w:rsid w:val="00F13A5C"/>
    <w:rsid w:val="00F13F84"/>
    <w:rsid w:val="00F146D6"/>
    <w:rsid w:val="00F14B40"/>
    <w:rsid w:val="00F14BC3"/>
    <w:rsid w:val="00F154AC"/>
    <w:rsid w:val="00F157AC"/>
    <w:rsid w:val="00F159E3"/>
    <w:rsid w:val="00F15AC4"/>
    <w:rsid w:val="00F15D15"/>
    <w:rsid w:val="00F15E4B"/>
    <w:rsid w:val="00F15EAB"/>
    <w:rsid w:val="00F16097"/>
    <w:rsid w:val="00F164A8"/>
    <w:rsid w:val="00F171A2"/>
    <w:rsid w:val="00F171CA"/>
    <w:rsid w:val="00F17739"/>
    <w:rsid w:val="00F177F8"/>
    <w:rsid w:val="00F17AA0"/>
    <w:rsid w:val="00F2066B"/>
    <w:rsid w:val="00F20863"/>
    <w:rsid w:val="00F20880"/>
    <w:rsid w:val="00F21192"/>
    <w:rsid w:val="00F214A6"/>
    <w:rsid w:val="00F216F9"/>
    <w:rsid w:val="00F21B8F"/>
    <w:rsid w:val="00F21BF5"/>
    <w:rsid w:val="00F22193"/>
    <w:rsid w:val="00F224AE"/>
    <w:rsid w:val="00F2313F"/>
    <w:rsid w:val="00F249E5"/>
    <w:rsid w:val="00F25146"/>
    <w:rsid w:val="00F25D10"/>
    <w:rsid w:val="00F2690D"/>
    <w:rsid w:val="00F300F2"/>
    <w:rsid w:val="00F302AE"/>
    <w:rsid w:val="00F304C3"/>
    <w:rsid w:val="00F30BEB"/>
    <w:rsid w:val="00F313A3"/>
    <w:rsid w:val="00F31697"/>
    <w:rsid w:val="00F316A3"/>
    <w:rsid w:val="00F32084"/>
    <w:rsid w:val="00F32102"/>
    <w:rsid w:val="00F321ED"/>
    <w:rsid w:val="00F3227A"/>
    <w:rsid w:val="00F32833"/>
    <w:rsid w:val="00F32F87"/>
    <w:rsid w:val="00F333F2"/>
    <w:rsid w:val="00F338D3"/>
    <w:rsid w:val="00F34073"/>
    <w:rsid w:val="00F340F8"/>
    <w:rsid w:val="00F3469A"/>
    <w:rsid w:val="00F3487C"/>
    <w:rsid w:val="00F34C22"/>
    <w:rsid w:val="00F34CF0"/>
    <w:rsid w:val="00F35369"/>
    <w:rsid w:val="00F3555F"/>
    <w:rsid w:val="00F355DD"/>
    <w:rsid w:val="00F35873"/>
    <w:rsid w:val="00F35E39"/>
    <w:rsid w:val="00F35FA4"/>
    <w:rsid w:val="00F36648"/>
    <w:rsid w:val="00F36D41"/>
    <w:rsid w:val="00F3705C"/>
    <w:rsid w:val="00F374DB"/>
    <w:rsid w:val="00F37761"/>
    <w:rsid w:val="00F37A48"/>
    <w:rsid w:val="00F37AAD"/>
    <w:rsid w:val="00F37B05"/>
    <w:rsid w:val="00F37CF0"/>
    <w:rsid w:val="00F404A0"/>
    <w:rsid w:val="00F409F0"/>
    <w:rsid w:val="00F41091"/>
    <w:rsid w:val="00F416DC"/>
    <w:rsid w:val="00F41ACE"/>
    <w:rsid w:val="00F41D10"/>
    <w:rsid w:val="00F4322C"/>
    <w:rsid w:val="00F4369E"/>
    <w:rsid w:val="00F437DF"/>
    <w:rsid w:val="00F438D4"/>
    <w:rsid w:val="00F43CCA"/>
    <w:rsid w:val="00F443DB"/>
    <w:rsid w:val="00F44534"/>
    <w:rsid w:val="00F44E0C"/>
    <w:rsid w:val="00F45132"/>
    <w:rsid w:val="00F45648"/>
    <w:rsid w:val="00F459AD"/>
    <w:rsid w:val="00F47021"/>
    <w:rsid w:val="00F470F8"/>
    <w:rsid w:val="00F474B9"/>
    <w:rsid w:val="00F47895"/>
    <w:rsid w:val="00F5001C"/>
    <w:rsid w:val="00F503BF"/>
    <w:rsid w:val="00F505FD"/>
    <w:rsid w:val="00F506B4"/>
    <w:rsid w:val="00F51250"/>
    <w:rsid w:val="00F51274"/>
    <w:rsid w:val="00F513AA"/>
    <w:rsid w:val="00F5167D"/>
    <w:rsid w:val="00F5180E"/>
    <w:rsid w:val="00F52328"/>
    <w:rsid w:val="00F52578"/>
    <w:rsid w:val="00F52722"/>
    <w:rsid w:val="00F52765"/>
    <w:rsid w:val="00F528A7"/>
    <w:rsid w:val="00F533B1"/>
    <w:rsid w:val="00F5344D"/>
    <w:rsid w:val="00F53ACF"/>
    <w:rsid w:val="00F53DED"/>
    <w:rsid w:val="00F54111"/>
    <w:rsid w:val="00F54A34"/>
    <w:rsid w:val="00F55695"/>
    <w:rsid w:val="00F559DE"/>
    <w:rsid w:val="00F55B4D"/>
    <w:rsid w:val="00F55D36"/>
    <w:rsid w:val="00F560BF"/>
    <w:rsid w:val="00F56329"/>
    <w:rsid w:val="00F56423"/>
    <w:rsid w:val="00F56AC8"/>
    <w:rsid w:val="00F570CB"/>
    <w:rsid w:val="00F57776"/>
    <w:rsid w:val="00F577FC"/>
    <w:rsid w:val="00F57DBA"/>
    <w:rsid w:val="00F60555"/>
    <w:rsid w:val="00F605D3"/>
    <w:rsid w:val="00F607DC"/>
    <w:rsid w:val="00F60E8F"/>
    <w:rsid w:val="00F612A8"/>
    <w:rsid w:val="00F613A8"/>
    <w:rsid w:val="00F614A3"/>
    <w:rsid w:val="00F61B87"/>
    <w:rsid w:val="00F61F3F"/>
    <w:rsid w:val="00F622B0"/>
    <w:rsid w:val="00F62EB6"/>
    <w:rsid w:val="00F63394"/>
    <w:rsid w:val="00F63723"/>
    <w:rsid w:val="00F6392C"/>
    <w:rsid w:val="00F641EE"/>
    <w:rsid w:val="00F6422B"/>
    <w:rsid w:val="00F64685"/>
    <w:rsid w:val="00F646A3"/>
    <w:rsid w:val="00F65A68"/>
    <w:rsid w:val="00F65CA6"/>
    <w:rsid w:val="00F65CD9"/>
    <w:rsid w:val="00F660B2"/>
    <w:rsid w:val="00F661C0"/>
    <w:rsid w:val="00F66269"/>
    <w:rsid w:val="00F66354"/>
    <w:rsid w:val="00F66492"/>
    <w:rsid w:val="00F66AB2"/>
    <w:rsid w:val="00F67568"/>
    <w:rsid w:val="00F6764B"/>
    <w:rsid w:val="00F67A76"/>
    <w:rsid w:val="00F70440"/>
    <w:rsid w:val="00F7089C"/>
    <w:rsid w:val="00F70E79"/>
    <w:rsid w:val="00F71193"/>
    <w:rsid w:val="00F71B3D"/>
    <w:rsid w:val="00F71D33"/>
    <w:rsid w:val="00F71D44"/>
    <w:rsid w:val="00F7208B"/>
    <w:rsid w:val="00F720A4"/>
    <w:rsid w:val="00F72145"/>
    <w:rsid w:val="00F72172"/>
    <w:rsid w:val="00F7281C"/>
    <w:rsid w:val="00F72DBF"/>
    <w:rsid w:val="00F73BA4"/>
    <w:rsid w:val="00F73F26"/>
    <w:rsid w:val="00F74050"/>
    <w:rsid w:val="00F74439"/>
    <w:rsid w:val="00F74A57"/>
    <w:rsid w:val="00F74C28"/>
    <w:rsid w:val="00F751CB"/>
    <w:rsid w:val="00F75529"/>
    <w:rsid w:val="00F7605C"/>
    <w:rsid w:val="00F76062"/>
    <w:rsid w:val="00F76535"/>
    <w:rsid w:val="00F76A79"/>
    <w:rsid w:val="00F76AAA"/>
    <w:rsid w:val="00F773A3"/>
    <w:rsid w:val="00F77479"/>
    <w:rsid w:val="00F80184"/>
    <w:rsid w:val="00F80574"/>
    <w:rsid w:val="00F809C6"/>
    <w:rsid w:val="00F80AC0"/>
    <w:rsid w:val="00F80D2D"/>
    <w:rsid w:val="00F80D83"/>
    <w:rsid w:val="00F810F3"/>
    <w:rsid w:val="00F813D0"/>
    <w:rsid w:val="00F81419"/>
    <w:rsid w:val="00F81450"/>
    <w:rsid w:val="00F81659"/>
    <w:rsid w:val="00F81B61"/>
    <w:rsid w:val="00F81BE2"/>
    <w:rsid w:val="00F81BFD"/>
    <w:rsid w:val="00F81F38"/>
    <w:rsid w:val="00F83468"/>
    <w:rsid w:val="00F8412A"/>
    <w:rsid w:val="00F8417C"/>
    <w:rsid w:val="00F84FA7"/>
    <w:rsid w:val="00F850A7"/>
    <w:rsid w:val="00F852DB"/>
    <w:rsid w:val="00F85B6F"/>
    <w:rsid w:val="00F86574"/>
    <w:rsid w:val="00F86DA5"/>
    <w:rsid w:val="00F873CD"/>
    <w:rsid w:val="00F87436"/>
    <w:rsid w:val="00F87507"/>
    <w:rsid w:val="00F87C75"/>
    <w:rsid w:val="00F87FC9"/>
    <w:rsid w:val="00F900EC"/>
    <w:rsid w:val="00F90954"/>
    <w:rsid w:val="00F90DDA"/>
    <w:rsid w:val="00F91066"/>
    <w:rsid w:val="00F9146D"/>
    <w:rsid w:val="00F919B1"/>
    <w:rsid w:val="00F92200"/>
    <w:rsid w:val="00F92CD5"/>
    <w:rsid w:val="00F92FC3"/>
    <w:rsid w:val="00F932F7"/>
    <w:rsid w:val="00F93EB4"/>
    <w:rsid w:val="00F94580"/>
    <w:rsid w:val="00F94910"/>
    <w:rsid w:val="00F94A7E"/>
    <w:rsid w:val="00F9511F"/>
    <w:rsid w:val="00F95347"/>
    <w:rsid w:val="00F954EB"/>
    <w:rsid w:val="00F95593"/>
    <w:rsid w:val="00F95653"/>
    <w:rsid w:val="00F96472"/>
    <w:rsid w:val="00F96CDC"/>
    <w:rsid w:val="00F96D2F"/>
    <w:rsid w:val="00F97358"/>
    <w:rsid w:val="00F9735D"/>
    <w:rsid w:val="00F976F2"/>
    <w:rsid w:val="00F97AFC"/>
    <w:rsid w:val="00F97C84"/>
    <w:rsid w:val="00FA17CD"/>
    <w:rsid w:val="00FA18D3"/>
    <w:rsid w:val="00FA22AC"/>
    <w:rsid w:val="00FA2563"/>
    <w:rsid w:val="00FA2710"/>
    <w:rsid w:val="00FA2D42"/>
    <w:rsid w:val="00FA33AC"/>
    <w:rsid w:val="00FA34C8"/>
    <w:rsid w:val="00FA3A4D"/>
    <w:rsid w:val="00FA3E43"/>
    <w:rsid w:val="00FA4A91"/>
    <w:rsid w:val="00FA5017"/>
    <w:rsid w:val="00FA5163"/>
    <w:rsid w:val="00FA5203"/>
    <w:rsid w:val="00FA541D"/>
    <w:rsid w:val="00FA58A8"/>
    <w:rsid w:val="00FA591D"/>
    <w:rsid w:val="00FA61E6"/>
    <w:rsid w:val="00FA6559"/>
    <w:rsid w:val="00FA6788"/>
    <w:rsid w:val="00FA6C1A"/>
    <w:rsid w:val="00FA6CB7"/>
    <w:rsid w:val="00FA71D5"/>
    <w:rsid w:val="00FA750D"/>
    <w:rsid w:val="00FA7E0B"/>
    <w:rsid w:val="00FB0536"/>
    <w:rsid w:val="00FB0F2E"/>
    <w:rsid w:val="00FB1606"/>
    <w:rsid w:val="00FB16D7"/>
    <w:rsid w:val="00FB1800"/>
    <w:rsid w:val="00FB1C07"/>
    <w:rsid w:val="00FB21A3"/>
    <w:rsid w:val="00FB2A29"/>
    <w:rsid w:val="00FB503C"/>
    <w:rsid w:val="00FB55F0"/>
    <w:rsid w:val="00FB5FF1"/>
    <w:rsid w:val="00FB6017"/>
    <w:rsid w:val="00FB6D9B"/>
    <w:rsid w:val="00FB6FE9"/>
    <w:rsid w:val="00FB7240"/>
    <w:rsid w:val="00FB73B8"/>
    <w:rsid w:val="00FB77B1"/>
    <w:rsid w:val="00FB7977"/>
    <w:rsid w:val="00FB7D88"/>
    <w:rsid w:val="00FC069D"/>
    <w:rsid w:val="00FC0EC7"/>
    <w:rsid w:val="00FC0F5F"/>
    <w:rsid w:val="00FC11E1"/>
    <w:rsid w:val="00FC12E2"/>
    <w:rsid w:val="00FC2879"/>
    <w:rsid w:val="00FC2F9D"/>
    <w:rsid w:val="00FC3483"/>
    <w:rsid w:val="00FC3CFB"/>
    <w:rsid w:val="00FC3FD6"/>
    <w:rsid w:val="00FC41DF"/>
    <w:rsid w:val="00FC4C2E"/>
    <w:rsid w:val="00FC6207"/>
    <w:rsid w:val="00FC7439"/>
    <w:rsid w:val="00FC755D"/>
    <w:rsid w:val="00FC7642"/>
    <w:rsid w:val="00FC7A2B"/>
    <w:rsid w:val="00FD02AE"/>
    <w:rsid w:val="00FD03FC"/>
    <w:rsid w:val="00FD0AAB"/>
    <w:rsid w:val="00FD0F6A"/>
    <w:rsid w:val="00FD0FE1"/>
    <w:rsid w:val="00FD1029"/>
    <w:rsid w:val="00FD113F"/>
    <w:rsid w:val="00FD1444"/>
    <w:rsid w:val="00FD193F"/>
    <w:rsid w:val="00FD1AF8"/>
    <w:rsid w:val="00FD21EE"/>
    <w:rsid w:val="00FD269D"/>
    <w:rsid w:val="00FD2F48"/>
    <w:rsid w:val="00FD3A1B"/>
    <w:rsid w:val="00FD3C1C"/>
    <w:rsid w:val="00FD42EF"/>
    <w:rsid w:val="00FD43E1"/>
    <w:rsid w:val="00FD5665"/>
    <w:rsid w:val="00FD5828"/>
    <w:rsid w:val="00FD5B44"/>
    <w:rsid w:val="00FD65A2"/>
    <w:rsid w:val="00FD65EE"/>
    <w:rsid w:val="00FD6717"/>
    <w:rsid w:val="00FE06D7"/>
    <w:rsid w:val="00FE08EB"/>
    <w:rsid w:val="00FE0CE0"/>
    <w:rsid w:val="00FE0FF1"/>
    <w:rsid w:val="00FE16ED"/>
    <w:rsid w:val="00FE187E"/>
    <w:rsid w:val="00FE1CF0"/>
    <w:rsid w:val="00FE2B39"/>
    <w:rsid w:val="00FE2F68"/>
    <w:rsid w:val="00FE30E7"/>
    <w:rsid w:val="00FE477A"/>
    <w:rsid w:val="00FE48D2"/>
    <w:rsid w:val="00FE5A5B"/>
    <w:rsid w:val="00FE5D2D"/>
    <w:rsid w:val="00FE616A"/>
    <w:rsid w:val="00FE6447"/>
    <w:rsid w:val="00FE66AE"/>
    <w:rsid w:val="00FE69E3"/>
    <w:rsid w:val="00FE6E4B"/>
    <w:rsid w:val="00FE7203"/>
    <w:rsid w:val="00FE7DE7"/>
    <w:rsid w:val="00FF0077"/>
    <w:rsid w:val="00FF0AAF"/>
    <w:rsid w:val="00FF110E"/>
    <w:rsid w:val="00FF121C"/>
    <w:rsid w:val="00FF1919"/>
    <w:rsid w:val="00FF19F1"/>
    <w:rsid w:val="00FF2155"/>
    <w:rsid w:val="00FF23F9"/>
    <w:rsid w:val="00FF2684"/>
    <w:rsid w:val="00FF29B8"/>
    <w:rsid w:val="00FF2A97"/>
    <w:rsid w:val="00FF2E1C"/>
    <w:rsid w:val="00FF369A"/>
    <w:rsid w:val="00FF3A85"/>
    <w:rsid w:val="00FF3DDC"/>
    <w:rsid w:val="00FF49CF"/>
    <w:rsid w:val="00FF50EE"/>
    <w:rsid w:val="00FF51F9"/>
    <w:rsid w:val="00FF5421"/>
    <w:rsid w:val="00FF585E"/>
    <w:rsid w:val="00FF5998"/>
    <w:rsid w:val="00FF5DB0"/>
    <w:rsid w:val="00FF64B4"/>
    <w:rsid w:val="00FF6B61"/>
    <w:rsid w:val="00FF6BCE"/>
    <w:rsid w:val="00FF6CB6"/>
    <w:rsid w:val="00FF6FCD"/>
    <w:rsid w:val="00FF734A"/>
    <w:rsid w:val="00FF73FD"/>
    <w:rsid w:val="00FF7C73"/>
    <w:rsid w:val="01230FF8"/>
    <w:rsid w:val="013B12AC"/>
    <w:rsid w:val="01840D23"/>
    <w:rsid w:val="01A36639"/>
    <w:rsid w:val="01AA128A"/>
    <w:rsid w:val="01C523EB"/>
    <w:rsid w:val="01CA7DE4"/>
    <w:rsid w:val="01ED0BE8"/>
    <w:rsid w:val="01FC2C01"/>
    <w:rsid w:val="022B52F2"/>
    <w:rsid w:val="02385327"/>
    <w:rsid w:val="02443EBF"/>
    <w:rsid w:val="025C14B4"/>
    <w:rsid w:val="02883974"/>
    <w:rsid w:val="028B271D"/>
    <w:rsid w:val="02BC2A6D"/>
    <w:rsid w:val="02D9001B"/>
    <w:rsid w:val="03511DCB"/>
    <w:rsid w:val="03676854"/>
    <w:rsid w:val="03800958"/>
    <w:rsid w:val="03D42E2E"/>
    <w:rsid w:val="03EA585B"/>
    <w:rsid w:val="042C7234"/>
    <w:rsid w:val="0441088F"/>
    <w:rsid w:val="04AB3904"/>
    <w:rsid w:val="04AC7907"/>
    <w:rsid w:val="04DF2EAE"/>
    <w:rsid w:val="04E05E04"/>
    <w:rsid w:val="050C05C8"/>
    <w:rsid w:val="0525473E"/>
    <w:rsid w:val="053578FC"/>
    <w:rsid w:val="053E2602"/>
    <w:rsid w:val="054001A7"/>
    <w:rsid w:val="05CB0FA4"/>
    <w:rsid w:val="05D50E7D"/>
    <w:rsid w:val="060A6FDB"/>
    <w:rsid w:val="06362007"/>
    <w:rsid w:val="06452A65"/>
    <w:rsid w:val="06583DFE"/>
    <w:rsid w:val="06654211"/>
    <w:rsid w:val="067803E8"/>
    <w:rsid w:val="068F306A"/>
    <w:rsid w:val="06AE3FEC"/>
    <w:rsid w:val="06B212F1"/>
    <w:rsid w:val="06B94E0C"/>
    <w:rsid w:val="06E073A0"/>
    <w:rsid w:val="06FB2900"/>
    <w:rsid w:val="072C6C75"/>
    <w:rsid w:val="075229E7"/>
    <w:rsid w:val="07560D8A"/>
    <w:rsid w:val="076F2324"/>
    <w:rsid w:val="07C876E8"/>
    <w:rsid w:val="07CD517A"/>
    <w:rsid w:val="07E10424"/>
    <w:rsid w:val="081802DB"/>
    <w:rsid w:val="08202AE5"/>
    <w:rsid w:val="082F1310"/>
    <w:rsid w:val="086361B9"/>
    <w:rsid w:val="086E3851"/>
    <w:rsid w:val="0894499D"/>
    <w:rsid w:val="08A2799E"/>
    <w:rsid w:val="08B81EE3"/>
    <w:rsid w:val="08C50AF1"/>
    <w:rsid w:val="08C74C21"/>
    <w:rsid w:val="08E25FED"/>
    <w:rsid w:val="08EC29C7"/>
    <w:rsid w:val="08EE2A4A"/>
    <w:rsid w:val="0946657C"/>
    <w:rsid w:val="0963211F"/>
    <w:rsid w:val="097C5E2F"/>
    <w:rsid w:val="09962C2B"/>
    <w:rsid w:val="09A432A2"/>
    <w:rsid w:val="09D65B51"/>
    <w:rsid w:val="09EC4C0B"/>
    <w:rsid w:val="0A105A61"/>
    <w:rsid w:val="0A1246B0"/>
    <w:rsid w:val="0A3D6BFE"/>
    <w:rsid w:val="0A9B1393"/>
    <w:rsid w:val="0AE4224C"/>
    <w:rsid w:val="0AF978CC"/>
    <w:rsid w:val="0B6D6EC1"/>
    <w:rsid w:val="0B7078E0"/>
    <w:rsid w:val="0B775E97"/>
    <w:rsid w:val="0B881B32"/>
    <w:rsid w:val="0BC5036C"/>
    <w:rsid w:val="0C61547A"/>
    <w:rsid w:val="0C615818"/>
    <w:rsid w:val="0C7B653C"/>
    <w:rsid w:val="0CCA7C6E"/>
    <w:rsid w:val="0D005082"/>
    <w:rsid w:val="0D26294C"/>
    <w:rsid w:val="0D5225D9"/>
    <w:rsid w:val="0D5A1BC5"/>
    <w:rsid w:val="0D605732"/>
    <w:rsid w:val="0DB97A81"/>
    <w:rsid w:val="0DDC74AE"/>
    <w:rsid w:val="0E2750C9"/>
    <w:rsid w:val="0E337610"/>
    <w:rsid w:val="0E421BE9"/>
    <w:rsid w:val="0E4312DC"/>
    <w:rsid w:val="0E523341"/>
    <w:rsid w:val="0E540B6A"/>
    <w:rsid w:val="0E581C96"/>
    <w:rsid w:val="0E664FCA"/>
    <w:rsid w:val="0E8A6F0A"/>
    <w:rsid w:val="0EDD34DE"/>
    <w:rsid w:val="0F1867CF"/>
    <w:rsid w:val="0F230F70"/>
    <w:rsid w:val="0F4672D5"/>
    <w:rsid w:val="0FB00E9A"/>
    <w:rsid w:val="0FEB1E42"/>
    <w:rsid w:val="0FF40B56"/>
    <w:rsid w:val="10353209"/>
    <w:rsid w:val="10393380"/>
    <w:rsid w:val="103976E8"/>
    <w:rsid w:val="103B4F38"/>
    <w:rsid w:val="10D3327A"/>
    <w:rsid w:val="114B2042"/>
    <w:rsid w:val="11510997"/>
    <w:rsid w:val="115C5F26"/>
    <w:rsid w:val="115D508F"/>
    <w:rsid w:val="11693DA7"/>
    <w:rsid w:val="11A6683B"/>
    <w:rsid w:val="11AC205E"/>
    <w:rsid w:val="120038EF"/>
    <w:rsid w:val="12072E82"/>
    <w:rsid w:val="12340690"/>
    <w:rsid w:val="127706D7"/>
    <w:rsid w:val="12803FE4"/>
    <w:rsid w:val="12EB3CF1"/>
    <w:rsid w:val="130E6C2F"/>
    <w:rsid w:val="133F0689"/>
    <w:rsid w:val="134753CA"/>
    <w:rsid w:val="13690A0D"/>
    <w:rsid w:val="136A730B"/>
    <w:rsid w:val="13A2162B"/>
    <w:rsid w:val="13D76B8F"/>
    <w:rsid w:val="13DE5DEF"/>
    <w:rsid w:val="13FB1111"/>
    <w:rsid w:val="143F2545"/>
    <w:rsid w:val="145E6E6F"/>
    <w:rsid w:val="145F6743"/>
    <w:rsid w:val="147772D7"/>
    <w:rsid w:val="147B7EF0"/>
    <w:rsid w:val="14847A08"/>
    <w:rsid w:val="14983A03"/>
    <w:rsid w:val="14BA416B"/>
    <w:rsid w:val="14E32A3F"/>
    <w:rsid w:val="15061D4E"/>
    <w:rsid w:val="150A2791"/>
    <w:rsid w:val="150E38DD"/>
    <w:rsid w:val="151D481C"/>
    <w:rsid w:val="15320AB9"/>
    <w:rsid w:val="154F21C8"/>
    <w:rsid w:val="155440E0"/>
    <w:rsid w:val="15666B81"/>
    <w:rsid w:val="156A35F2"/>
    <w:rsid w:val="158A1831"/>
    <w:rsid w:val="158C3568"/>
    <w:rsid w:val="15BD5881"/>
    <w:rsid w:val="15CC108A"/>
    <w:rsid w:val="15CD36BD"/>
    <w:rsid w:val="167518E3"/>
    <w:rsid w:val="16EC2F91"/>
    <w:rsid w:val="173C638D"/>
    <w:rsid w:val="1743234C"/>
    <w:rsid w:val="174C286E"/>
    <w:rsid w:val="17995AF5"/>
    <w:rsid w:val="17B9616B"/>
    <w:rsid w:val="17BB393F"/>
    <w:rsid w:val="17D33B8E"/>
    <w:rsid w:val="17D631C0"/>
    <w:rsid w:val="17DE53C0"/>
    <w:rsid w:val="17E41C9B"/>
    <w:rsid w:val="17ED4E1B"/>
    <w:rsid w:val="17F807D3"/>
    <w:rsid w:val="18253800"/>
    <w:rsid w:val="18296E49"/>
    <w:rsid w:val="187A7545"/>
    <w:rsid w:val="187D5677"/>
    <w:rsid w:val="18B96600"/>
    <w:rsid w:val="18D32BEC"/>
    <w:rsid w:val="19076499"/>
    <w:rsid w:val="19377BEF"/>
    <w:rsid w:val="195625D6"/>
    <w:rsid w:val="195922D1"/>
    <w:rsid w:val="19872A06"/>
    <w:rsid w:val="19875D06"/>
    <w:rsid w:val="19C84D8B"/>
    <w:rsid w:val="19DD1FD8"/>
    <w:rsid w:val="19FD6728"/>
    <w:rsid w:val="1A01795D"/>
    <w:rsid w:val="1A1D1B9A"/>
    <w:rsid w:val="1A1F4525"/>
    <w:rsid w:val="1A277D03"/>
    <w:rsid w:val="1A2C0828"/>
    <w:rsid w:val="1A5C7440"/>
    <w:rsid w:val="1A824F3A"/>
    <w:rsid w:val="1A854E97"/>
    <w:rsid w:val="1AA063FA"/>
    <w:rsid w:val="1AC437A4"/>
    <w:rsid w:val="1ADB6DE1"/>
    <w:rsid w:val="1AF5395E"/>
    <w:rsid w:val="1B136412"/>
    <w:rsid w:val="1B4839EA"/>
    <w:rsid w:val="1B5C578B"/>
    <w:rsid w:val="1B617AB4"/>
    <w:rsid w:val="1B762C21"/>
    <w:rsid w:val="1B85186B"/>
    <w:rsid w:val="1BE340FE"/>
    <w:rsid w:val="1BF400B9"/>
    <w:rsid w:val="1BF81957"/>
    <w:rsid w:val="1C16002F"/>
    <w:rsid w:val="1C1A2C45"/>
    <w:rsid w:val="1C7B4336"/>
    <w:rsid w:val="1C8C284F"/>
    <w:rsid w:val="1C9E7A0F"/>
    <w:rsid w:val="1CA13D9D"/>
    <w:rsid w:val="1CBA62EB"/>
    <w:rsid w:val="1CCF4A88"/>
    <w:rsid w:val="1CEF7BC8"/>
    <w:rsid w:val="1D060A74"/>
    <w:rsid w:val="1D6848BB"/>
    <w:rsid w:val="1D940AEA"/>
    <w:rsid w:val="1DB815E7"/>
    <w:rsid w:val="1DBE44DB"/>
    <w:rsid w:val="1DBF5D1B"/>
    <w:rsid w:val="1DF30DBE"/>
    <w:rsid w:val="1E142B63"/>
    <w:rsid w:val="1E193E07"/>
    <w:rsid w:val="1E1941D3"/>
    <w:rsid w:val="1E320A25"/>
    <w:rsid w:val="1E4A1D6C"/>
    <w:rsid w:val="1E8A6AB3"/>
    <w:rsid w:val="1E8B31F9"/>
    <w:rsid w:val="1F092DA0"/>
    <w:rsid w:val="1F295211"/>
    <w:rsid w:val="1F5E41C7"/>
    <w:rsid w:val="1F6D7568"/>
    <w:rsid w:val="1F8020B1"/>
    <w:rsid w:val="1F906AC3"/>
    <w:rsid w:val="1FB73513"/>
    <w:rsid w:val="203B0065"/>
    <w:rsid w:val="206375BB"/>
    <w:rsid w:val="20796DDF"/>
    <w:rsid w:val="20966D18"/>
    <w:rsid w:val="20CE64F0"/>
    <w:rsid w:val="20E433FD"/>
    <w:rsid w:val="20EC4110"/>
    <w:rsid w:val="21066190"/>
    <w:rsid w:val="212B17D7"/>
    <w:rsid w:val="212E56A3"/>
    <w:rsid w:val="213C5AB2"/>
    <w:rsid w:val="217E2424"/>
    <w:rsid w:val="21C347B6"/>
    <w:rsid w:val="221137F5"/>
    <w:rsid w:val="223A792F"/>
    <w:rsid w:val="223C5CB5"/>
    <w:rsid w:val="22415669"/>
    <w:rsid w:val="225D028B"/>
    <w:rsid w:val="22984977"/>
    <w:rsid w:val="22A10EDD"/>
    <w:rsid w:val="22A279BF"/>
    <w:rsid w:val="22C205C9"/>
    <w:rsid w:val="22E22A19"/>
    <w:rsid w:val="22EA4516"/>
    <w:rsid w:val="231C1F28"/>
    <w:rsid w:val="23A82975"/>
    <w:rsid w:val="23D700A4"/>
    <w:rsid w:val="23F47CEE"/>
    <w:rsid w:val="24084702"/>
    <w:rsid w:val="243A0633"/>
    <w:rsid w:val="248779A4"/>
    <w:rsid w:val="248B0E8F"/>
    <w:rsid w:val="24C658DF"/>
    <w:rsid w:val="24CE594B"/>
    <w:rsid w:val="24E53988"/>
    <w:rsid w:val="24E94533"/>
    <w:rsid w:val="24F71C41"/>
    <w:rsid w:val="24F9002D"/>
    <w:rsid w:val="25123EE6"/>
    <w:rsid w:val="255226E4"/>
    <w:rsid w:val="256B13EC"/>
    <w:rsid w:val="2604433C"/>
    <w:rsid w:val="260E7FC9"/>
    <w:rsid w:val="26A02222"/>
    <w:rsid w:val="26B96187"/>
    <w:rsid w:val="26C17110"/>
    <w:rsid w:val="26C73FBA"/>
    <w:rsid w:val="271D0F6A"/>
    <w:rsid w:val="27427D24"/>
    <w:rsid w:val="27723B5D"/>
    <w:rsid w:val="27AC7A9A"/>
    <w:rsid w:val="27C5210F"/>
    <w:rsid w:val="27FA6E8F"/>
    <w:rsid w:val="281B7DE6"/>
    <w:rsid w:val="284A5288"/>
    <w:rsid w:val="2896788E"/>
    <w:rsid w:val="28B23771"/>
    <w:rsid w:val="28BE5577"/>
    <w:rsid w:val="28C44D66"/>
    <w:rsid w:val="28E15486"/>
    <w:rsid w:val="28FE6FB4"/>
    <w:rsid w:val="291E6CF6"/>
    <w:rsid w:val="293F0351"/>
    <w:rsid w:val="29AA5F3F"/>
    <w:rsid w:val="29AE7AF9"/>
    <w:rsid w:val="29CA7E14"/>
    <w:rsid w:val="29DA1326"/>
    <w:rsid w:val="29E844B4"/>
    <w:rsid w:val="2A57682C"/>
    <w:rsid w:val="2AB300C0"/>
    <w:rsid w:val="2AE17A5A"/>
    <w:rsid w:val="2AE26650"/>
    <w:rsid w:val="2B042175"/>
    <w:rsid w:val="2B060862"/>
    <w:rsid w:val="2BDC6B03"/>
    <w:rsid w:val="2C047EA4"/>
    <w:rsid w:val="2C2E4FDD"/>
    <w:rsid w:val="2C7F577D"/>
    <w:rsid w:val="2C954FA0"/>
    <w:rsid w:val="2CB956FB"/>
    <w:rsid w:val="2CC118F2"/>
    <w:rsid w:val="2CCE67B7"/>
    <w:rsid w:val="2D2F463D"/>
    <w:rsid w:val="2D644DCF"/>
    <w:rsid w:val="2DE6065D"/>
    <w:rsid w:val="2DED2014"/>
    <w:rsid w:val="2E057F04"/>
    <w:rsid w:val="2E1A575D"/>
    <w:rsid w:val="2E3D144C"/>
    <w:rsid w:val="2E474078"/>
    <w:rsid w:val="2E4B1DBB"/>
    <w:rsid w:val="2E501EBB"/>
    <w:rsid w:val="2E7C75D0"/>
    <w:rsid w:val="2E9F0C5D"/>
    <w:rsid w:val="2EA046D5"/>
    <w:rsid w:val="2EC62C44"/>
    <w:rsid w:val="2ECE479A"/>
    <w:rsid w:val="2ED754BF"/>
    <w:rsid w:val="2EF04D63"/>
    <w:rsid w:val="2EF5428F"/>
    <w:rsid w:val="2EF637EC"/>
    <w:rsid w:val="2EF71C57"/>
    <w:rsid w:val="2EFA3018"/>
    <w:rsid w:val="2F166342"/>
    <w:rsid w:val="2F2F1519"/>
    <w:rsid w:val="2F8B6BDB"/>
    <w:rsid w:val="2F9C03F4"/>
    <w:rsid w:val="2F9F469B"/>
    <w:rsid w:val="2FDA421D"/>
    <w:rsid w:val="30191A45"/>
    <w:rsid w:val="30777899"/>
    <w:rsid w:val="30901D07"/>
    <w:rsid w:val="30A85B31"/>
    <w:rsid w:val="30D806B0"/>
    <w:rsid w:val="30FC739C"/>
    <w:rsid w:val="315330A1"/>
    <w:rsid w:val="31540F86"/>
    <w:rsid w:val="316F3512"/>
    <w:rsid w:val="318B6972"/>
    <w:rsid w:val="319121DA"/>
    <w:rsid w:val="31933321"/>
    <w:rsid w:val="31957588"/>
    <w:rsid w:val="31991B9A"/>
    <w:rsid w:val="31DB1C63"/>
    <w:rsid w:val="31EB07E1"/>
    <w:rsid w:val="320C3A59"/>
    <w:rsid w:val="32657585"/>
    <w:rsid w:val="327F6F84"/>
    <w:rsid w:val="32947696"/>
    <w:rsid w:val="32954240"/>
    <w:rsid w:val="32CC6878"/>
    <w:rsid w:val="32CC6D9C"/>
    <w:rsid w:val="32DF0D23"/>
    <w:rsid w:val="32E02884"/>
    <w:rsid w:val="332350B4"/>
    <w:rsid w:val="33287BC2"/>
    <w:rsid w:val="33BE08AB"/>
    <w:rsid w:val="33D85973"/>
    <w:rsid w:val="341425B6"/>
    <w:rsid w:val="34477D1D"/>
    <w:rsid w:val="349873DC"/>
    <w:rsid w:val="34A95562"/>
    <w:rsid w:val="34AE30A3"/>
    <w:rsid w:val="34CD1B11"/>
    <w:rsid w:val="34F05E27"/>
    <w:rsid w:val="353A3149"/>
    <w:rsid w:val="35411038"/>
    <w:rsid w:val="355E3D20"/>
    <w:rsid w:val="356D6D93"/>
    <w:rsid w:val="35856DD3"/>
    <w:rsid w:val="3590726B"/>
    <w:rsid w:val="35B44A00"/>
    <w:rsid w:val="35C71088"/>
    <w:rsid w:val="35D62830"/>
    <w:rsid w:val="35EF74CF"/>
    <w:rsid w:val="35FD03A5"/>
    <w:rsid w:val="36266DB4"/>
    <w:rsid w:val="3652180C"/>
    <w:rsid w:val="36551D0E"/>
    <w:rsid w:val="3673757E"/>
    <w:rsid w:val="36A50B59"/>
    <w:rsid w:val="36A75796"/>
    <w:rsid w:val="36D937DF"/>
    <w:rsid w:val="372637B9"/>
    <w:rsid w:val="3742260B"/>
    <w:rsid w:val="374F5784"/>
    <w:rsid w:val="375F2433"/>
    <w:rsid w:val="37D73D98"/>
    <w:rsid w:val="37D83F93"/>
    <w:rsid w:val="37E77D99"/>
    <w:rsid w:val="37F67806"/>
    <w:rsid w:val="3811570E"/>
    <w:rsid w:val="382C63D0"/>
    <w:rsid w:val="38302E8B"/>
    <w:rsid w:val="38500809"/>
    <w:rsid w:val="385C2357"/>
    <w:rsid w:val="38832151"/>
    <w:rsid w:val="388A4620"/>
    <w:rsid w:val="388C5551"/>
    <w:rsid w:val="38D806EF"/>
    <w:rsid w:val="38EA5078"/>
    <w:rsid w:val="395D6E46"/>
    <w:rsid w:val="39765FE5"/>
    <w:rsid w:val="399B0739"/>
    <w:rsid w:val="399B4E0F"/>
    <w:rsid w:val="399E5C78"/>
    <w:rsid w:val="39C03EA5"/>
    <w:rsid w:val="39D76B5E"/>
    <w:rsid w:val="39DC420F"/>
    <w:rsid w:val="39FB3DD8"/>
    <w:rsid w:val="3A3F126A"/>
    <w:rsid w:val="3A3F53F0"/>
    <w:rsid w:val="3AB64D0B"/>
    <w:rsid w:val="3AC4420F"/>
    <w:rsid w:val="3B0404E7"/>
    <w:rsid w:val="3B053BAB"/>
    <w:rsid w:val="3B21035D"/>
    <w:rsid w:val="3B234B49"/>
    <w:rsid w:val="3B247C1B"/>
    <w:rsid w:val="3B5322AF"/>
    <w:rsid w:val="3B5F5322"/>
    <w:rsid w:val="3B606603"/>
    <w:rsid w:val="3B626DC2"/>
    <w:rsid w:val="3B9A0B12"/>
    <w:rsid w:val="3BAF30AA"/>
    <w:rsid w:val="3BB53761"/>
    <w:rsid w:val="3BD31B0E"/>
    <w:rsid w:val="3BE140CE"/>
    <w:rsid w:val="3C395948"/>
    <w:rsid w:val="3C39735A"/>
    <w:rsid w:val="3C636521"/>
    <w:rsid w:val="3C6A77AE"/>
    <w:rsid w:val="3C9A5CBB"/>
    <w:rsid w:val="3CCF5F1D"/>
    <w:rsid w:val="3CD22095"/>
    <w:rsid w:val="3D211EBB"/>
    <w:rsid w:val="3D2A3A62"/>
    <w:rsid w:val="3D3B749E"/>
    <w:rsid w:val="3D552A52"/>
    <w:rsid w:val="3D652271"/>
    <w:rsid w:val="3D7A7FC6"/>
    <w:rsid w:val="3D804EB1"/>
    <w:rsid w:val="3D8141C6"/>
    <w:rsid w:val="3D826E7B"/>
    <w:rsid w:val="3D877909"/>
    <w:rsid w:val="3D981043"/>
    <w:rsid w:val="3D9D57EB"/>
    <w:rsid w:val="3DD71982"/>
    <w:rsid w:val="3DE03BA2"/>
    <w:rsid w:val="3E016E42"/>
    <w:rsid w:val="3E096027"/>
    <w:rsid w:val="3E636CAD"/>
    <w:rsid w:val="3E84581E"/>
    <w:rsid w:val="3E872C04"/>
    <w:rsid w:val="3E881948"/>
    <w:rsid w:val="3ED26939"/>
    <w:rsid w:val="3F0062A9"/>
    <w:rsid w:val="3F2B6302"/>
    <w:rsid w:val="3F395C5F"/>
    <w:rsid w:val="3F40700F"/>
    <w:rsid w:val="3F4E1F09"/>
    <w:rsid w:val="3F8F1487"/>
    <w:rsid w:val="3FA9748D"/>
    <w:rsid w:val="3FB07D68"/>
    <w:rsid w:val="3FD44A3A"/>
    <w:rsid w:val="3FE563E0"/>
    <w:rsid w:val="3FF54B1F"/>
    <w:rsid w:val="40084600"/>
    <w:rsid w:val="400F5E3A"/>
    <w:rsid w:val="402C565A"/>
    <w:rsid w:val="40550877"/>
    <w:rsid w:val="40723117"/>
    <w:rsid w:val="40787454"/>
    <w:rsid w:val="40953369"/>
    <w:rsid w:val="40D043A1"/>
    <w:rsid w:val="414E4404"/>
    <w:rsid w:val="41605725"/>
    <w:rsid w:val="416074D3"/>
    <w:rsid w:val="4184148D"/>
    <w:rsid w:val="41C5246F"/>
    <w:rsid w:val="41F61BE6"/>
    <w:rsid w:val="42072045"/>
    <w:rsid w:val="422D0034"/>
    <w:rsid w:val="423D26E9"/>
    <w:rsid w:val="42732894"/>
    <w:rsid w:val="42856656"/>
    <w:rsid w:val="429822BA"/>
    <w:rsid w:val="429F33DB"/>
    <w:rsid w:val="42B52646"/>
    <w:rsid w:val="42C052DA"/>
    <w:rsid w:val="42C30A3B"/>
    <w:rsid w:val="42D40A26"/>
    <w:rsid w:val="42E278AA"/>
    <w:rsid w:val="4303280C"/>
    <w:rsid w:val="43086870"/>
    <w:rsid w:val="430B4C8C"/>
    <w:rsid w:val="431A1CEF"/>
    <w:rsid w:val="431D107C"/>
    <w:rsid w:val="43377520"/>
    <w:rsid w:val="43822D16"/>
    <w:rsid w:val="438A1DBB"/>
    <w:rsid w:val="43AE2789"/>
    <w:rsid w:val="43B55AC1"/>
    <w:rsid w:val="442A3DC9"/>
    <w:rsid w:val="44767F39"/>
    <w:rsid w:val="44AC2A30"/>
    <w:rsid w:val="44BB41F5"/>
    <w:rsid w:val="45230F44"/>
    <w:rsid w:val="45300BCC"/>
    <w:rsid w:val="45610996"/>
    <w:rsid w:val="458D61AA"/>
    <w:rsid w:val="458F0387"/>
    <w:rsid w:val="45DA09E7"/>
    <w:rsid w:val="45F742F5"/>
    <w:rsid w:val="4607616F"/>
    <w:rsid w:val="46087583"/>
    <w:rsid w:val="46107F64"/>
    <w:rsid w:val="4622349E"/>
    <w:rsid w:val="462D6C1B"/>
    <w:rsid w:val="466F6384"/>
    <w:rsid w:val="46746674"/>
    <w:rsid w:val="46B45D83"/>
    <w:rsid w:val="46B70B78"/>
    <w:rsid w:val="47615D53"/>
    <w:rsid w:val="47723ABC"/>
    <w:rsid w:val="477567DA"/>
    <w:rsid w:val="47A520E4"/>
    <w:rsid w:val="47A735E5"/>
    <w:rsid w:val="47EB17E0"/>
    <w:rsid w:val="47EF4061"/>
    <w:rsid w:val="47F04AAD"/>
    <w:rsid w:val="47F15329"/>
    <w:rsid w:val="480A63EB"/>
    <w:rsid w:val="483629D0"/>
    <w:rsid w:val="48363027"/>
    <w:rsid w:val="484A67E7"/>
    <w:rsid w:val="48AE25FD"/>
    <w:rsid w:val="48DE2EEC"/>
    <w:rsid w:val="48E2765F"/>
    <w:rsid w:val="490E1F17"/>
    <w:rsid w:val="492273B8"/>
    <w:rsid w:val="493E0490"/>
    <w:rsid w:val="49AF0FF8"/>
    <w:rsid w:val="49B33F32"/>
    <w:rsid w:val="4A031344"/>
    <w:rsid w:val="4A084BAC"/>
    <w:rsid w:val="4A0C3AF3"/>
    <w:rsid w:val="4A16577A"/>
    <w:rsid w:val="4A2B01C6"/>
    <w:rsid w:val="4A436112"/>
    <w:rsid w:val="4A4A0D21"/>
    <w:rsid w:val="4ADB5D0C"/>
    <w:rsid w:val="4B012EB9"/>
    <w:rsid w:val="4B024675"/>
    <w:rsid w:val="4B1F21AD"/>
    <w:rsid w:val="4B397174"/>
    <w:rsid w:val="4B4D2D1B"/>
    <w:rsid w:val="4B535031"/>
    <w:rsid w:val="4B5A22C2"/>
    <w:rsid w:val="4B5C20A2"/>
    <w:rsid w:val="4B63508A"/>
    <w:rsid w:val="4BA64553"/>
    <w:rsid w:val="4BA82AAC"/>
    <w:rsid w:val="4BC35A11"/>
    <w:rsid w:val="4BDC2892"/>
    <w:rsid w:val="4C285447"/>
    <w:rsid w:val="4C321A40"/>
    <w:rsid w:val="4C7A01BF"/>
    <w:rsid w:val="4CB97774"/>
    <w:rsid w:val="4CDB3689"/>
    <w:rsid w:val="4D1B4BF6"/>
    <w:rsid w:val="4D3A32CE"/>
    <w:rsid w:val="4D491763"/>
    <w:rsid w:val="4D526B1C"/>
    <w:rsid w:val="4D573E80"/>
    <w:rsid w:val="4D7560B4"/>
    <w:rsid w:val="4DB26538"/>
    <w:rsid w:val="4DCB2178"/>
    <w:rsid w:val="4DEC711E"/>
    <w:rsid w:val="4E0C051E"/>
    <w:rsid w:val="4E217FEA"/>
    <w:rsid w:val="4E2773C5"/>
    <w:rsid w:val="4E3F0252"/>
    <w:rsid w:val="4E4F476D"/>
    <w:rsid w:val="4E5A0FA7"/>
    <w:rsid w:val="4E6D1482"/>
    <w:rsid w:val="4E8862BB"/>
    <w:rsid w:val="4EFD3A3D"/>
    <w:rsid w:val="4EFD45B3"/>
    <w:rsid w:val="4F0F2539"/>
    <w:rsid w:val="4F3851F0"/>
    <w:rsid w:val="4FA20606"/>
    <w:rsid w:val="4FA65486"/>
    <w:rsid w:val="4FDA2B47"/>
    <w:rsid w:val="4FDC2124"/>
    <w:rsid w:val="4FDD735B"/>
    <w:rsid w:val="50411E14"/>
    <w:rsid w:val="505868D5"/>
    <w:rsid w:val="509251CF"/>
    <w:rsid w:val="50E27F05"/>
    <w:rsid w:val="50EA570B"/>
    <w:rsid w:val="51053070"/>
    <w:rsid w:val="514C35D0"/>
    <w:rsid w:val="517D7FDC"/>
    <w:rsid w:val="5186214A"/>
    <w:rsid w:val="51A03CD0"/>
    <w:rsid w:val="51B31F28"/>
    <w:rsid w:val="51D77244"/>
    <w:rsid w:val="52136886"/>
    <w:rsid w:val="52585DF9"/>
    <w:rsid w:val="52646708"/>
    <w:rsid w:val="52757310"/>
    <w:rsid w:val="52960109"/>
    <w:rsid w:val="52BD6DD9"/>
    <w:rsid w:val="52F27859"/>
    <w:rsid w:val="53095C1D"/>
    <w:rsid w:val="530B0772"/>
    <w:rsid w:val="53397419"/>
    <w:rsid w:val="536551B3"/>
    <w:rsid w:val="537E27A0"/>
    <w:rsid w:val="539A29F7"/>
    <w:rsid w:val="53A02EC9"/>
    <w:rsid w:val="540D4CDB"/>
    <w:rsid w:val="54287D51"/>
    <w:rsid w:val="54707211"/>
    <w:rsid w:val="54FC530D"/>
    <w:rsid w:val="55304A01"/>
    <w:rsid w:val="55474366"/>
    <w:rsid w:val="55495CBC"/>
    <w:rsid w:val="558A762F"/>
    <w:rsid w:val="558D7E67"/>
    <w:rsid w:val="55BB555C"/>
    <w:rsid w:val="55F968E4"/>
    <w:rsid w:val="560721BC"/>
    <w:rsid w:val="563C37BB"/>
    <w:rsid w:val="56597F5A"/>
    <w:rsid w:val="56631028"/>
    <w:rsid w:val="568C4680"/>
    <w:rsid w:val="56B54986"/>
    <w:rsid w:val="56BE7A1A"/>
    <w:rsid w:val="570778EC"/>
    <w:rsid w:val="57380335"/>
    <w:rsid w:val="574D00A2"/>
    <w:rsid w:val="57621F66"/>
    <w:rsid w:val="576451E2"/>
    <w:rsid w:val="579342B7"/>
    <w:rsid w:val="57A560D7"/>
    <w:rsid w:val="57A70874"/>
    <w:rsid w:val="57AC4DC9"/>
    <w:rsid w:val="57B60F8C"/>
    <w:rsid w:val="57D60097"/>
    <w:rsid w:val="57F329F7"/>
    <w:rsid w:val="581035A9"/>
    <w:rsid w:val="58523BC2"/>
    <w:rsid w:val="58A13F78"/>
    <w:rsid w:val="58A720A2"/>
    <w:rsid w:val="58AD704A"/>
    <w:rsid w:val="58B8779D"/>
    <w:rsid w:val="58D824C9"/>
    <w:rsid w:val="58DD3AAF"/>
    <w:rsid w:val="58EE298A"/>
    <w:rsid w:val="58FA7C8B"/>
    <w:rsid w:val="58FB64F2"/>
    <w:rsid w:val="591D4860"/>
    <w:rsid w:val="59423D7D"/>
    <w:rsid w:val="598465B6"/>
    <w:rsid w:val="59CC1752"/>
    <w:rsid w:val="59D93E6F"/>
    <w:rsid w:val="59DF0876"/>
    <w:rsid w:val="5A4722D5"/>
    <w:rsid w:val="5A4C63EF"/>
    <w:rsid w:val="5A5F616D"/>
    <w:rsid w:val="5A6536C3"/>
    <w:rsid w:val="5A8770F5"/>
    <w:rsid w:val="5A8B33BB"/>
    <w:rsid w:val="5AA5407F"/>
    <w:rsid w:val="5AC36D8D"/>
    <w:rsid w:val="5AD24581"/>
    <w:rsid w:val="5ADF2044"/>
    <w:rsid w:val="5AE211D0"/>
    <w:rsid w:val="5AF947C9"/>
    <w:rsid w:val="5B5B1DDE"/>
    <w:rsid w:val="5B7025B1"/>
    <w:rsid w:val="5B752542"/>
    <w:rsid w:val="5B7B6658"/>
    <w:rsid w:val="5BCD364C"/>
    <w:rsid w:val="5BD577D1"/>
    <w:rsid w:val="5BE72873"/>
    <w:rsid w:val="5BF20FBD"/>
    <w:rsid w:val="5BFC48F2"/>
    <w:rsid w:val="5C003584"/>
    <w:rsid w:val="5C063961"/>
    <w:rsid w:val="5C0F413E"/>
    <w:rsid w:val="5C2A5967"/>
    <w:rsid w:val="5C6155CB"/>
    <w:rsid w:val="5CAD7093"/>
    <w:rsid w:val="5CE6318C"/>
    <w:rsid w:val="5CEA706D"/>
    <w:rsid w:val="5D171126"/>
    <w:rsid w:val="5D186A5C"/>
    <w:rsid w:val="5D280E34"/>
    <w:rsid w:val="5D310C9F"/>
    <w:rsid w:val="5D604B1C"/>
    <w:rsid w:val="5D64417D"/>
    <w:rsid w:val="5D804D2D"/>
    <w:rsid w:val="5DA70852"/>
    <w:rsid w:val="5DA85D9E"/>
    <w:rsid w:val="5DC705A8"/>
    <w:rsid w:val="5DDF522D"/>
    <w:rsid w:val="5E616368"/>
    <w:rsid w:val="5E800ACA"/>
    <w:rsid w:val="5E8A63F3"/>
    <w:rsid w:val="5EBB3B43"/>
    <w:rsid w:val="5EC200EC"/>
    <w:rsid w:val="5ED52D5F"/>
    <w:rsid w:val="5ED5704D"/>
    <w:rsid w:val="5EEC4B34"/>
    <w:rsid w:val="5EF27613"/>
    <w:rsid w:val="5F150D64"/>
    <w:rsid w:val="5F577D10"/>
    <w:rsid w:val="5F73441E"/>
    <w:rsid w:val="5F7B6378"/>
    <w:rsid w:val="5FC7787F"/>
    <w:rsid w:val="5FD33E66"/>
    <w:rsid w:val="600531BF"/>
    <w:rsid w:val="604F09E7"/>
    <w:rsid w:val="605132D8"/>
    <w:rsid w:val="60664F57"/>
    <w:rsid w:val="608C24F3"/>
    <w:rsid w:val="60936B26"/>
    <w:rsid w:val="61850A37"/>
    <w:rsid w:val="61FF766A"/>
    <w:rsid w:val="62306CB6"/>
    <w:rsid w:val="62477B55"/>
    <w:rsid w:val="62481BCF"/>
    <w:rsid w:val="625642AF"/>
    <w:rsid w:val="626575CA"/>
    <w:rsid w:val="628F4378"/>
    <w:rsid w:val="62AE6AE9"/>
    <w:rsid w:val="62C206F4"/>
    <w:rsid w:val="62D21FE4"/>
    <w:rsid w:val="62D3117C"/>
    <w:rsid w:val="62E91668"/>
    <w:rsid w:val="63051831"/>
    <w:rsid w:val="63143924"/>
    <w:rsid w:val="631B72A6"/>
    <w:rsid w:val="634676E4"/>
    <w:rsid w:val="634C5774"/>
    <w:rsid w:val="63553B34"/>
    <w:rsid w:val="639F57E1"/>
    <w:rsid w:val="63AE011A"/>
    <w:rsid w:val="63B152AA"/>
    <w:rsid w:val="63CC656D"/>
    <w:rsid w:val="63F47B28"/>
    <w:rsid w:val="640B7C17"/>
    <w:rsid w:val="64204D90"/>
    <w:rsid w:val="645C09D8"/>
    <w:rsid w:val="64E84913"/>
    <w:rsid w:val="651008F6"/>
    <w:rsid w:val="653B778C"/>
    <w:rsid w:val="656942F9"/>
    <w:rsid w:val="656F7435"/>
    <w:rsid w:val="65787537"/>
    <w:rsid w:val="65AA214A"/>
    <w:rsid w:val="65B35574"/>
    <w:rsid w:val="65B978C3"/>
    <w:rsid w:val="65C32895"/>
    <w:rsid w:val="65C71411"/>
    <w:rsid w:val="661E2D6B"/>
    <w:rsid w:val="662930E2"/>
    <w:rsid w:val="66563EB8"/>
    <w:rsid w:val="665B02EA"/>
    <w:rsid w:val="666A657B"/>
    <w:rsid w:val="666E468A"/>
    <w:rsid w:val="667A22A4"/>
    <w:rsid w:val="66A31A8D"/>
    <w:rsid w:val="66B20069"/>
    <w:rsid w:val="66C66C1C"/>
    <w:rsid w:val="66E91EE7"/>
    <w:rsid w:val="671273F1"/>
    <w:rsid w:val="672E6B7E"/>
    <w:rsid w:val="6736645D"/>
    <w:rsid w:val="676F5DEC"/>
    <w:rsid w:val="67A17DB0"/>
    <w:rsid w:val="67E36561"/>
    <w:rsid w:val="6813696A"/>
    <w:rsid w:val="686D24D1"/>
    <w:rsid w:val="6894189C"/>
    <w:rsid w:val="68E3372E"/>
    <w:rsid w:val="68EA39A3"/>
    <w:rsid w:val="68EA74FF"/>
    <w:rsid w:val="694766FF"/>
    <w:rsid w:val="69562DE6"/>
    <w:rsid w:val="695E73EC"/>
    <w:rsid w:val="698D0D60"/>
    <w:rsid w:val="69AE797C"/>
    <w:rsid w:val="69C272B4"/>
    <w:rsid w:val="69FA7C16"/>
    <w:rsid w:val="6A0960AB"/>
    <w:rsid w:val="6A422325"/>
    <w:rsid w:val="6A555670"/>
    <w:rsid w:val="6A6A7556"/>
    <w:rsid w:val="6A9B54B0"/>
    <w:rsid w:val="6AAA0DC2"/>
    <w:rsid w:val="6AE1219C"/>
    <w:rsid w:val="6B4230BA"/>
    <w:rsid w:val="6B517D09"/>
    <w:rsid w:val="6B526D9F"/>
    <w:rsid w:val="6B6C68F1"/>
    <w:rsid w:val="6BA503B5"/>
    <w:rsid w:val="6BBC4452"/>
    <w:rsid w:val="6BC200A3"/>
    <w:rsid w:val="6BD776AA"/>
    <w:rsid w:val="6BE566A3"/>
    <w:rsid w:val="6BEB3136"/>
    <w:rsid w:val="6BF012D0"/>
    <w:rsid w:val="6C4332FD"/>
    <w:rsid w:val="6C904861"/>
    <w:rsid w:val="6CAB53F8"/>
    <w:rsid w:val="6CD04A32"/>
    <w:rsid w:val="6D3B593A"/>
    <w:rsid w:val="6D781E64"/>
    <w:rsid w:val="6DB936D5"/>
    <w:rsid w:val="6DBD154B"/>
    <w:rsid w:val="6DBE7083"/>
    <w:rsid w:val="6DD32B9D"/>
    <w:rsid w:val="6DE17464"/>
    <w:rsid w:val="6DE34760"/>
    <w:rsid w:val="6E010A7F"/>
    <w:rsid w:val="6E1374FB"/>
    <w:rsid w:val="6E295537"/>
    <w:rsid w:val="6E5657A2"/>
    <w:rsid w:val="6E5F5EFF"/>
    <w:rsid w:val="6EB72579"/>
    <w:rsid w:val="6F00106A"/>
    <w:rsid w:val="6F016B24"/>
    <w:rsid w:val="6F04742A"/>
    <w:rsid w:val="6F167D49"/>
    <w:rsid w:val="6F351EFD"/>
    <w:rsid w:val="6F9A2E4E"/>
    <w:rsid w:val="6FA61C4E"/>
    <w:rsid w:val="6FD4544C"/>
    <w:rsid w:val="6FE93EA0"/>
    <w:rsid w:val="6FF25C7A"/>
    <w:rsid w:val="6FF869A5"/>
    <w:rsid w:val="700A0487"/>
    <w:rsid w:val="700C41FF"/>
    <w:rsid w:val="701C0289"/>
    <w:rsid w:val="701D63D4"/>
    <w:rsid w:val="70310038"/>
    <w:rsid w:val="70804B34"/>
    <w:rsid w:val="70E91B82"/>
    <w:rsid w:val="70F83B56"/>
    <w:rsid w:val="71061D22"/>
    <w:rsid w:val="710F7D1D"/>
    <w:rsid w:val="71272499"/>
    <w:rsid w:val="71445A5A"/>
    <w:rsid w:val="7150119D"/>
    <w:rsid w:val="71864485"/>
    <w:rsid w:val="719F3A6D"/>
    <w:rsid w:val="71B52674"/>
    <w:rsid w:val="71DC6050"/>
    <w:rsid w:val="7272155E"/>
    <w:rsid w:val="728D72D4"/>
    <w:rsid w:val="72CE5A4F"/>
    <w:rsid w:val="72E32380"/>
    <w:rsid w:val="72EB0A43"/>
    <w:rsid w:val="732C2856"/>
    <w:rsid w:val="73894F41"/>
    <w:rsid w:val="739023F4"/>
    <w:rsid w:val="73B52DFF"/>
    <w:rsid w:val="73B947DD"/>
    <w:rsid w:val="73D91A74"/>
    <w:rsid w:val="741049CA"/>
    <w:rsid w:val="746D3497"/>
    <w:rsid w:val="74C17807"/>
    <w:rsid w:val="74C83DDB"/>
    <w:rsid w:val="74DF70F6"/>
    <w:rsid w:val="7518393E"/>
    <w:rsid w:val="75267325"/>
    <w:rsid w:val="753C5586"/>
    <w:rsid w:val="75690F03"/>
    <w:rsid w:val="757226DA"/>
    <w:rsid w:val="75E87721"/>
    <w:rsid w:val="75EB48B6"/>
    <w:rsid w:val="75F23E97"/>
    <w:rsid w:val="7607033B"/>
    <w:rsid w:val="76171CE3"/>
    <w:rsid w:val="761A4997"/>
    <w:rsid w:val="7625426C"/>
    <w:rsid w:val="76283D5C"/>
    <w:rsid w:val="766E53E0"/>
    <w:rsid w:val="766E7E67"/>
    <w:rsid w:val="76734F9E"/>
    <w:rsid w:val="768C15B3"/>
    <w:rsid w:val="76D8404C"/>
    <w:rsid w:val="76EA1012"/>
    <w:rsid w:val="77000835"/>
    <w:rsid w:val="771B72FA"/>
    <w:rsid w:val="77400371"/>
    <w:rsid w:val="77471B4E"/>
    <w:rsid w:val="775C53C8"/>
    <w:rsid w:val="77652D7F"/>
    <w:rsid w:val="776F7428"/>
    <w:rsid w:val="77B21E06"/>
    <w:rsid w:val="77CB0DA9"/>
    <w:rsid w:val="77D31AA6"/>
    <w:rsid w:val="77D9069F"/>
    <w:rsid w:val="78857244"/>
    <w:rsid w:val="789A36A2"/>
    <w:rsid w:val="78AE766F"/>
    <w:rsid w:val="78D96AE5"/>
    <w:rsid w:val="78F61EF0"/>
    <w:rsid w:val="790A2ADD"/>
    <w:rsid w:val="7921652B"/>
    <w:rsid w:val="793E6BA0"/>
    <w:rsid w:val="79443E5C"/>
    <w:rsid w:val="79471A7B"/>
    <w:rsid w:val="794B7388"/>
    <w:rsid w:val="79753F86"/>
    <w:rsid w:val="79C20F31"/>
    <w:rsid w:val="79F00B59"/>
    <w:rsid w:val="7A1C5986"/>
    <w:rsid w:val="7A4B5E8A"/>
    <w:rsid w:val="7A51611D"/>
    <w:rsid w:val="7A6540D7"/>
    <w:rsid w:val="7AF0377E"/>
    <w:rsid w:val="7B0479E2"/>
    <w:rsid w:val="7B375F65"/>
    <w:rsid w:val="7B997BCB"/>
    <w:rsid w:val="7BA81E03"/>
    <w:rsid w:val="7BB33F5D"/>
    <w:rsid w:val="7BB47C0C"/>
    <w:rsid w:val="7BD61B65"/>
    <w:rsid w:val="7BFA28CD"/>
    <w:rsid w:val="7C080BE5"/>
    <w:rsid w:val="7C4D36E0"/>
    <w:rsid w:val="7C567566"/>
    <w:rsid w:val="7C6869AC"/>
    <w:rsid w:val="7C8E2F85"/>
    <w:rsid w:val="7CAB2FF1"/>
    <w:rsid w:val="7D0E4879"/>
    <w:rsid w:val="7D43500E"/>
    <w:rsid w:val="7D845D1C"/>
    <w:rsid w:val="7D8B70AB"/>
    <w:rsid w:val="7DB72057"/>
    <w:rsid w:val="7DB976D8"/>
    <w:rsid w:val="7DED6275"/>
    <w:rsid w:val="7DFA4230"/>
    <w:rsid w:val="7DFB11A0"/>
    <w:rsid w:val="7E262E46"/>
    <w:rsid w:val="7E4D25B2"/>
    <w:rsid w:val="7E7F4735"/>
    <w:rsid w:val="7E9A50CB"/>
    <w:rsid w:val="7E9D6F5F"/>
    <w:rsid w:val="7EB75C7D"/>
    <w:rsid w:val="7ED06D3F"/>
    <w:rsid w:val="7ED77789"/>
    <w:rsid w:val="7EE301C7"/>
    <w:rsid w:val="7F1B2941"/>
    <w:rsid w:val="7F443261"/>
    <w:rsid w:val="7F6B7E43"/>
    <w:rsid w:val="7F716A76"/>
    <w:rsid w:val="7F7B7E45"/>
    <w:rsid w:val="7F802513"/>
    <w:rsid w:val="7F8277E8"/>
    <w:rsid w:val="7F8F472F"/>
    <w:rsid w:val="7F95116C"/>
    <w:rsid w:val="7F9E5FA1"/>
    <w:rsid w:val="7FCF218C"/>
    <w:rsid w:val="7FDC59DF"/>
    <w:rsid w:val="7FEC010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qFormat="1" w:unhideWhenUsed="0" w:uiPriority="0" w:semiHidden="0"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qFormat="1" w:unhideWhenUsed="0" w:uiPriority="99" w:name="endnote text"/>
    <w:lsdException w:uiPriority="99" w:name="table of authorities" w:locked="1"/>
    <w:lsdException w:uiPriority="99" w:name="macro" w:locked="1"/>
    <w:lsdException w:qFormat="1" w:unhideWhenUsed="0" w:uiPriority="0" w:semiHidden="0"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qFormat="1" w:unhideWhenUsed="0" w:uiPriority="99" w:semiHidden="0" w:name="List Bullet 2"/>
    <w:lsdException w:uiPriority="99" w:name="List Bullet 3" w:locked="1"/>
    <w:lsdException w:uiPriority="99" w:name="List Bullet 4" w:locked="1"/>
    <w:lsdException w:uiPriority="99" w:name="List Bullet 5" w:locked="1"/>
    <w:lsdException w:uiPriority="99" w:name="List Number 2" w:locked="1"/>
    <w:lsdException w:qFormat="1" w:unhideWhenUsed="0" w:uiPriority="99" w:semiHidden="0" w:name="List Number 3"/>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117"/>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69"/>
    <w:qFormat/>
    <w:uiPriority w:val="99"/>
    <w:pPr>
      <w:keepNext/>
      <w:keepLines/>
      <w:spacing w:before="260" w:after="260" w:line="416" w:lineRule="auto"/>
      <w:outlineLvl w:val="1"/>
    </w:pPr>
    <w:rPr>
      <w:rFonts w:ascii="Arial" w:hAnsi="Arial" w:eastAsia="黑体" w:cs="Arial"/>
      <w:b/>
      <w:bCs/>
      <w:sz w:val="32"/>
      <w:szCs w:val="32"/>
    </w:rPr>
  </w:style>
  <w:style w:type="paragraph" w:styleId="5">
    <w:name w:val="heading 3"/>
    <w:basedOn w:val="1"/>
    <w:next w:val="1"/>
    <w:link w:val="70"/>
    <w:qFormat/>
    <w:uiPriority w:val="99"/>
    <w:pPr>
      <w:keepNext/>
      <w:keepLines/>
      <w:autoSpaceDE w:val="0"/>
      <w:autoSpaceDN w:val="0"/>
      <w:adjustRightInd w:val="0"/>
      <w:spacing w:before="360" w:after="120"/>
      <w:jc w:val="left"/>
      <w:outlineLvl w:val="2"/>
    </w:pPr>
    <w:rPr>
      <w:rFonts w:ascii="宋体" w:cs="宋体"/>
      <w:b/>
      <w:bCs/>
      <w:kern w:val="0"/>
      <w:sz w:val="24"/>
      <w:szCs w:val="24"/>
      <w:u w:val="single"/>
    </w:rPr>
  </w:style>
  <w:style w:type="paragraph" w:styleId="6">
    <w:name w:val="heading 4"/>
    <w:basedOn w:val="1"/>
    <w:next w:val="7"/>
    <w:link w:val="71"/>
    <w:qFormat/>
    <w:uiPriority w:val="99"/>
    <w:pPr>
      <w:keepNext/>
      <w:keepLines/>
      <w:spacing w:before="280" w:after="290" w:line="376" w:lineRule="auto"/>
      <w:outlineLvl w:val="3"/>
    </w:pPr>
    <w:rPr>
      <w:rFonts w:ascii="Arial" w:hAnsi="Arial" w:eastAsia="黑体" w:cs="Arial"/>
      <w:b/>
      <w:bCs/>
      <w:sz w:val="28"/>
      <w:szCs w:val="28"/>
    </w:rPr>
  </w:style>
  <w:style w:type="paragraph" w:styleId="9">
    <w:name w:val="heading 5"/>
    <w:basedOn w:val="1"/>
    <w:next w:val="1"/>
    <w:link w:val="72"/>
    <w:qFormat/>
    <w:uiPriority w:val="99"/>
    <w:pPr>
      <w:keepNext/>
      <w:keepLines/>
      <w:spacing w:before="280" w:after="290" w:line="376" w:lineRule="auto"/>
      <w:outlineLvl w:val="4"/>
    </w:pPr>
    <w:rPr>
      <w:b/>
      <w:bCs/>
      <w:sz w:val="28"/>
      <w:szCs w:val="28"/>
    </w:rPr>
  </w:style>
  <w:style w:type="paragraph" w:styleId="10">
    <w:name w:val="heading 6"/>
    <w:basedOn w:val="1"/>
    <w:next w:val="1"/>
    <w:link w:val="73"/>
    <w:qFormat/>
    <w:uiPriority w:val="99"/>
    <w:pPr>
      <w:keepNext/>
      <w:keepLines/>
      <w:spacing w:before="240" w:after="64" w:line="320" w:lineRule="auto"/>
      <w:outlineLvl w:val="5"/>
    </w:pPr>
    <w:rPr>
      <w:rFonts w:ascii="Arial" w:hAnsi="Arial" w:eastAsia="黑体" w:cs="Arial"/>
      <w:b/>
      <w:bCs/>
      <w:sz w:val="24"/>
      <w:szCs w:val="24"/>
    </w:rPr>
  </w:style>
  <w:style w:type="paragraph" w:styleId="11">
    <w:name w:val="heading 7"/>
    <w:basedOn w:val="1"/>
    <w:next w:val="1"/>
    <w:link w:val="74"/>
    <w:qFormat/>
    <w:uiPriority w:val="99"/>
    <w:pPr>
      <w:keepNext/>
      <w:keepLines/>
      <w:adjustRightInd w:val="0"/>
      <w:spacing w:before="240" w:after="64" w:line="320" w:lineRule="atLeast"/>
      <w:textAlignment w:val="baseline"/>
      <w:outlineLvl w:val="6"/>
    </w:pPr>
    <w:rPr>
      <w:rFonts w:ascii="宋体" w:eastAsia="仿宋_GB2312" w:cs="宋体"/>
      <w:b/>
      <w:bCs/>
      <w:kern w:val="0"/>
      <w:sz w:val="24"/>
      <w:szCs w:val="24"/>
    </w:rPr>
  </w:style>
  <w:style w:type="paragraph" w:styleId="12">
    <w:name w:val="heading 8"/>
    <w:basedOn w:val="1"/>
    <w:next w:val="1"/>
    <w:link w:val="75"/>
    <w:qFormat/>
    <w:uiPriority w:val="99"/>
    <w:pPr>
      <w:keepNext/>
      <w:keepLines/>
      <w:adjustRightInd w:val="0"/>
      <w:spacing w:before="240" w:after="64" w:line="320" w:lineRule="atLeast"/>
      <w:textAlignment w:val="baseline"/>
      <w:outlineLvl w:val="7"/>
    </w:pPr>
    <w:rPr>
      <w:rFonts w:ascii="Arial" w:hAnsi="Arial" w:eastAsia="黑体" w:cs="Arial"/>
      <w:kern w:val="0"/>
      <w:sz w:val="24"/>
      <w:szCs w:val="24"/>
    </w:rPr>
  </w:style>
  <w:style w:type="paragraph" w:styleId="13">
    <w:name w:val="heading 9"/>
    <w:basedOn w:val="1"/>
    <w:next w:val="1"/>
    <w:link w:val="76"/>
    <w:qFormat/>
    <w:uiPriority w:val="99"/>
    <w:pPr>
      <w:keepNext/>
      <w:keepLines/>
      <w:adjustRightInd w:val="0"/>
      <w:spacing w:before="240" w:after="64" w:line="320" w:lineRule="atLeast"/>
      <w:textAlignment w:val="baseline"/>
      <w:outlineLvl w:val="8"/>
    </w:pPr>
    <w:rPr>
      <w:rFonts w:ascii="Arial" w:hAnsi="Arial" w:eastAsia="黑体" w:cs="Arial"/>
      <w:kern w:val="0"/>
      <w:sz w:val="28"/>
      <w:szCs w:val="28"/>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2">
    <w:name w:val="章正文"/>
    <w:basedOn w:val="1"/>
    <w:qFormat/>
    <w:uiPriority w:val="99"/>
    <w:pPr>
      <w:spacing w:beforeLines="50" w:after="120" w:line="300" w:lineRule="auto"/>
      <w:ind w:firstLine="480"/>
    </w:pPr>
    <w:rPr>
      <w:rFonts w:ascii="Helvetica" w:hAnsi="Helvetica" w:cs="Helvetica"/>
      <w:kern w:val="0"/>
      <w:sz w:val="24"/>
      <w:szCs w:val="24"/>
    </w:rPr>
  </w:style>
  <w:style w:type="paragraph" w:styleId="7">
    <w:name w:val="Normal Indent"/>
    <w:basedOn w:val="1"/>
    <w:next w:val="8"/>
    <w:link w:val="111"/>
    <w:qFormat/>
    <w:uiPriority w:val="99"/>
    <w:pPr>
      <w:ind w:firstLine="420"/>
    </w:pPr>
  </w:style>
  <w:style w:type="paragraph" w:styleId="8">
    <w:name w:val="Body Text Indent"/>
    <w:basedOn w:val="1"/>
    <w:next w:val="1"/>
    <w:link w:val="77"/>
    <w:qFormat/>
    <w:uiPriority w:val="99"/>
    <w:pPr>
      <w:spacing w:line="200" w:lineRule="exact"/>
      <w:ind w:firstLine="301"/>
    </w:pPr>
    <w:rPr>
      <w:rFonts w:ascii="宋体" w:hAnsi="Courier New" w:cs="宋体"/>
      <w:spacing w:val="-4"/>
      <w:sz w:val="18"/>
      <w:szCs w:val="18"/>
    </w:rPr>
  </w:style>
  <w:style w:type="paragraph" w:styleId="14">
    <w:name w:val="List Number"/>
    <w:basedOn w:val="1"/>
    <w:next w:val="15"/>
    <w:qFormat/>
    <w:uiPriority w:val="99"/>
    <w:pPr>
      <w:widowControl/>
      <w:tabs>
        <w:tab w:val="left" w:pos="454"/>
        <w:tab w:val="left" w:pos="720"/>
      </w:tabs>
      <w:spacing w:afterLines="50"/>
      <w:ind w:left="454" w:hanging="284"/>
      <w:jc w:val="left"/>
    </w:pPr>
    <w:rPr>
      <w:kern w:val="0"/>
      <w:sz w:val="24"/>
      <w:szCs w:val="24"/>
    </w:rPr>
  </w:style>
  <w:style w:type="paragraph" w:styleId="15">
    <w:name w:val="Body Text"/>
    <w:basedOn w:val="1"/>
    <w:next w:val="16"/>
    <w:link w:val="78"/>
    <w:qFormat/>
    <w:uiPriority w:val="99"/>
    <w:pPr>
      <w:spacing w:after="120"/>
    </w:pPr>
    <w:rPr>
      <w:sz w:val="28"/>
      <w:szCs w:val="28"/>
    </w:rPr>
  </w:style>
  <w:style w:type="paragraph" w:customStyle="1" w:styleId="16">
    <w:name w:val="正文文本首行缩进1"/>
    <w:basedOn w:val="15"/>
    <w:next w:val="17"/>
    <w:qFormat/>
    <w:uiPriority w:val="0"/>
    <w:pPr>
      <w:ind w:firstLine="420" w:firstLineChars="100"/>
    </w:pPr>
    <w:rPr>
      <w:rFonts w:ascii="Calibri" w:hAnsi="Calibri"/>
      <w:sz w:val="21"/>
      <w:szCs w:val="22"/>
    </w:rPr>
  </w:style>
  <w:style w:type="paragraph" w:styleId="17">
    <w:name w:val="toc 6"/>
    <w:basedOn w:val="1"/>
    <w:next w:val="1"/>
    <w:unhideWhenUsed/>
    <w:qFormat/>
    <w:uiPriority w:val="39"/>
    <w:pPr>
      <w:ind w:left="2100" w:leftChars="1000"/>
    </w:pPr>
  </w:style>
  <w:style w:type="paragraph" w:styleId="18">
    <w:name w:val="caption"/>
    <w:basedOn w:val="1"/>
    <w:next w:val="1"/>
    <w:qFormat/>
    <w:uiPriority w:val="99"/>
    <w:pPr>
      <w:spacing w:before="152"/>
    </w:pPr>
    <w:rPr>
      <w:rFonts w:ascii="Arial" w:hAnsi="Arial" w:eastAsia="黑体" w:cs="Arial"/>
      <w:sz w:val="20"/>
      <w:szCs w:val="20"/>
    </w:rPr>
  </w:style>
  <w:style w:type="paragraph" w:styleId="19">
    <w:name w:val="List Bullet"/>
    <w:basedOn w:val="1"/>
    <w:qFormat/>
    <w:uiPriority w:val="99"/>
    <w:pPr>
      <w:widowControl/>
      <w:tabs>
        <w:tab w:val="left" w:pos="900"/>
      </w:tabs>
      <w:spacing w:before="100" w:beforeAutospacing="1" w:afterLines="50" w:afterAutospacing="1"/>
      <w:ind w:left="900" w:hanging="420"/>
      <w:jc w:val="left"/>
    </w:pPr>
    <w:rPr>
      <w:kern w:val="0"/>
    </w:rPr>
  </w:style>
  <w:style w:type="paragraph" w:styleId="20">
    <w:name w:val="Document Map"/>
    <w:basedOn w:val="1"/>
    <w:link w:val="79"/>
    <w:semiHidden/>
    <w:qFormat/>
    <w:uiPriority w:val="99"/>
    <w:pPr>
      <w:shd w:val="clear" w:color="auto" w:fill="000080"/>
    </w:pPr>
  </w:style>
  <w:style w:type="paragraph" w:styleId="21">
    <w:name w:val="toa heading"/>
    <w:basedOn w:val="1"/>
    <w:next w:val="1"/>
    <w:qFormat/>
    <w:locked/>
    <w:uiPriority w:val="0"/>
    <w:pPr>
      <w:spacing w:before="120"/>
    </w:pPr>
    <w:rPr>
      <w:rFonts w:ascii="Arial" w:hAnsi="Arial"/>
      <w:sz w:val="24"/>
    </w:rPr>
  </w:style>
  <w:style w:type="paragraph" w:styleId="22">
    <w:name w:val="annotation text"/>
    <w:basedOn w:val="1"/>
    <w:link w:val="80"/>
    <w:semiHidden/>
    <w:qFormat/>
    <w:uiPriority w:val="99"/>
    <w:pPr>
      <w:jc w:val="left"/>
    </w:pPr>
  </w:style>
  <w:style w:type="paragraph" w:styleId="23">
    <w:name w:val="Salutation"/>
    <w:basedOn w:val="1"/>
    <w:next w:val="1"/>
    <w:link w:val="81"/>
    <w:qFormat/>
    <w:uiPriority w:val="99"/>
    <w:rPr>
      <w:sz w:val="24"/>
      <w:szCs w:val="24"/>
    </w:rPr>
  </w:style>
  <w:style w:type="paragraph" w:styleId="24">
    <w:name w:val="Body Text 3"/>
    <w:basedOn w:val="1"/>
    <w:link w:val="82"/>
    <w:qFormat/>
    <w:uiPriority w:val="99"/>
    <w:pPr>
      <w:snapToGrid w:val="0"/>
      <w:spacing w:before="50" w:after="50"/>
    </w:pPr>
  </w:style>
  <w:style w:type="paragraph" w:styleId="25">
    <w:name w:val="List Number 3"/>
    <w:basedOn w:val="1"/>
    <w:qFormat/>
    <w:uiPriority w:val="99"/>
    <w:pPr>
      <w:tabs>
        <w:tab w:val="left" w:pos="1200"/>
      </w:tabs>
      <w:ind w:left="1200" w:leftChars="400" w:hanging="360" w:hangingChars="200"/>
    </w:pPr>
  </w:style>
  <w:style w:type="paragraph" w:styleId="26">
    <w:name w:val="List 2"/>
    <w:basedOn w:val="1"/>
    <w:qFormat/>
    <w:uiPriority w:val="99"/>
    <w:pPr>
      <w:ind w:left="100" w:leftChars="200" w:hanging="200" w:hangingChars="200"/>
    </w:pPr>
    <w:rPr>
      <w:sz w:val="28"/>
      <w:szCs w:val="28"/>
    </w:rPr>
  </w:style>
  <w:style w:type="paragraph" w:styleId="27">
    <w:name w:val="List Bullet 2"/>
    <w:basedOn w:val="1"/>
    <w:qFormat/>
    <w:uiPriority w:val="99"/>
    <w:pPr>
      <w:tabs>
        <w:tab w:val="left" w:pos="360"/>
        <w:tab w:val="left" w:pos="1191"/>
      </w:tabs>
      <w:snapToGrid w:val="0"/>
      <w:spacing w:line="360" w:lineRule="auto"/>
      <w:ind w:left="482" w:hanging="482" w:hangingChars="200"/>
      <w:jc w:val="left"/>
    </w:pPr>
    <w:rPr>
      <w:b/>
      <w:bCs/>
      <w:sz w:val="24"/>
      <w:szCs w:val="24"/>
    </w:rPr>
  </w:style>
  <w:style w:type="paragraph" w:styleId="28">
    <w:name w:val="Plain Text"/>
    <w:basedOn w:val="1"/>
    <w:next w:val="1"/>
    <w:link w:val="83"/>
    <w:qFormat/>
    <w:uiPriority w:val="99"/>
    <w:pPr>
      <w:spacing w:beforeLines="50" w:afterLines="50" w:line="400" w:lineRule="exact"/>
    </w:pPr>
    <w:rPr>
      <w:rFonts w:ascii="宋体" w:hAnsi="Courier New" w:cs="宋体"/>
      <w:sz w:val="24"/>
      <w:szCs w:val="24"/>
    </w:rPr>
  </w:style>
  <w:style w:type="paragraph" w:styleId="29">
    <w:name w:val="Date"/>
    <w:basedOn w:val="1"/>
    <w:next w:val="1"/>
    <w:link w:val="84"/>
    <w:qFormat/>
    <w:uiPriority w:val="99"/>
    <w:pPr>
      <w:ind w:left="2500" w:leftChars="2500"/>
    </w:pPr>
    <w:rPr>
      <w:rFonts w:eastAsia="楷体_GB2312"/>
      <w:sz w:val="32"/>
      <w:szCs w:val="32"/>
    </w:rPr>
  </w:style>
  <w:style w:type="paragraph" w:styleId="30">
    <w:name w:val="Body Text Indent 2"/>
    <w:basedOn w:val="1"/>
    <w:link w:val="85"/>
    <w:qFormat/>
    <w:uiPriority w:val="99"/>
    <w:pPr>
      <w:snapToGrid w:val="0"/>
      <w:ind w:firstLine="542" w:firstLineChars="225"/>
    </w:pPr>
    <w:rPr>
      <w:rFonts w:ascii="仿宋_GB2312" w:hAnsi="宋体" w:cs="仿宋_GB2312"/>
      <w:b/>
      <w:bCs/>
      <w:color w:val="000000"/>
      <w:sz w:val="24"/>
      <w:szCs w:val="24"/>
    </w:rPr>
  </w:style>
  <w:style w:type="paragraph" w:styleId="31">
    <w:name w:val="endnote text"/>
    <w:basedOn w:val="1"/>
    <w:link w:val="86"/>
    <w:semiHidden/>
    <w:qFormat/>
    <w:uiPriority w:val="99"/>
    <w:pPr>
      <w:snapToGrid w:val="0"/>
      <w:spacing w:afterLines="50"/>
      <w:jc w:val="left"/>
    </w:pPr>
    <w:rPr>
      <w:rFonts w:ascii="宋体" w:cs="宋体"/>
      <w:kern w:val="0"/>
    </w:rPr>
  </w:style>
  <w:style w:type="paragraph" w:styleId="32">
    <w:name w:val="Balloon Text"/>
    <w:basedOn w:val="1"/>
    <w:link w:val="87"/>
    <w:semiHidden/>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rFonts w:eastAsia="黑体"/>
      <w:kern w:val="0"/>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rFonts w:eastAsia="仿宋_GB2312"/>
      <w:sz w:val="18"/>
      <w:szCs w:val="18"/>
    </w:rPr>
  </w:style>
  <w:style w:type="paragraph" w:styleId="35">
    <w:name w:val="toc 1"/>
    <w:basedOn w:val="1"/>
    <w:next w:val="1"/>
    <w:semiHidden/>
    <w:qFormat/>
    <w:uiPriority w:val="99"/>
  </w:style>
  <w:style w:type="paragraph" w:styleId="36">
    <w:name w:val="Subtitle"/>
    <w:basedOn w:val="1"/>
    <w:link w:val="90"/>
    <w:qFormat/>
    <w:uiPriority w:val="99"/>
    <w:pPr>
      <w:spacing w:afterLines="50"/>
      <w:jc w:val="center"/>
    </w:pPr>
    <w:rPr>
      <w:rFonts w:ascii="宋体" w:cs="宋体"/>
      <w:i/>
      <w:iCs/>
      <w:kern w:val="0"/>
      <w:sz w:val="36"/>
      <w:szCs w:val="36"/>
      <w:lang w:val="en-AU"/>
    </w:rPr>
  </w:style>
  <w:style w:type="paragraph" w:styleId="37">
    <w:name w:val="List"/>
    <w:basedOn w:val="1"/>
    <w:qFormat/>
    <w:uiPriority w:val="99"/>
    <w:pPr>
      <w:ind w:left="200" w:hanging="200" w:hangingChars="200"/>
    </w:pPr>
    <w:rPr>
      <w:sz w:val="28"/>
      <w:szCs w:val="28"/>
    </w:rPr>
  </w:style>
  <w:style w:type="paragraph" w:styleId="38">
    <w:name w:val="Body Text Indent 3"/>
    <w:basedOn w:val="1"/>
    <w:next w:val="1"/>
    <w:link w:val="91"/>
    <w:qFormat/>
    <w:uiPriority w:val="99"/>
    <w:pPr>
      <w:snapToGrid w:val="0"/>
      <w:ind w:firstLine="480" w:firstLineChars="200"/>
      <w:jc w:val="left"/>
    </w:pPr>
    <w:rPr>
      <w:rFonts w:ascii="仿宋_GB2312" w:hAnsi="宋体" w:eastAsia="仿宋_GB2312" w:cs="仿宋_GB2312"/>
      <w:color w:val="000000"/>
      <w:sz w:val="24"/>
      <w:szCs w:val="24"/>
    </w:rPr>
  </w:style>
  <w:style w:type="paragraph" w:styleId="39">
    <w:name w:val="table of figures"/>
    <w:basedOn w:val="1"/>
    <w:next w:val="1"/>
    <w:qFormat/>
    <w:locked/>
    <w:uiPriority w:val="0"/>
    <w:pPr>
      <w:tabs>
        <w:tab w:val="left" w:pos="1270"/>
      </w:tabs>
      <w:spacing w:line="360" w:lineRule="auto"/>
      <w:ind w:left="1270" w:hanging="420"/>
      <w:jc w:val="left"/>
    </w:pPr>
    <w:rPr>
      <w:smallCaps/>
      <w:sz w:val="20"/>
      <w:szCs w:val="20"/>
    </w:rPr>
  </w:style>
  <w:style w:type="paragraph" w:styleId="40">
    <w:name w:val="toc 2"/>
    <w:basedOn w:val="1"/>
    <w:next w:val="1"/>
    <w:qFormat/>
    <w:uiPriority w:val="0"/>
    <w:pPr>
      <w:ind w:left="420" w:leftChars="200"/>
    </w:pPr>
  </w:style>
  <w:style w:type="paragraph" w:styleId="41">
    <w:name w:val="Body Text 2"/>
    <w:basedOn w:val="1"/>
    <w:link w:val="92"/>
    <w:qFormat/>
    <w:uiPriority w:val="99"/>
    <w:pPr>
      <w:widowControl/>
      <w:snapToGrid w:val="0"/>
      <w:spacing w:before="50" w:afterLines="50" w:line="400" w:lineRule="exact"/>
      <w:jc w:val="left"/>
    </w:pPr>
    <w:rPr>
      <w:rFonts w:ascii="宋体" w:hAnsi="宋体" w:cs="宋体"/>
      <w:color w:val="000000"/>
      <w:sz w:val="24"/>
      <w:szCs w:val="24"/>
    </w:rPr>
  </w:style>
  <w:style w:type="paragraph" w:styleId="42">
    <w:name w:val="HTML Preformatted"/>
    <w:basedOn w:val="1"/>
    <w:link w:val="93"/>
    <w:qFormat/>
    <w:uiPriority w:val="99"/>
    <w:rPr>
      <w:rFonts w:ascii="Courier New" w:hAnsi="Courier New" w:cs="Courier New"/>
      <w:sz w:val="20"/>
      <w:szCs w:val="20"/>
    </w:rPr>
  </w:style>
  <w:style w:type="paragraph" w:styleId="43">
    <w:name w:val="Normal (Web)"/>
    <w:basedOn w:val="1"/>
    <w:next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44">
    <w:name w:val="Title"/>
    <w:basedOn w:val="1"/>
    <w:link w:val="94"/>
    <w:qFormat/>
    <w:uiPriority w:val="99"/>
    <w:pPr>
      <w:widowControl/>
      <w:overflowPunct w:val="0"/>
      <w:autoSpaceDE w:val="0"/>
      <w:autoSpaceDN w:val="0"/>
      <w:adjustRightInd w:val="0"/>
      <w:jc w:val="center"/>
      <w:textAlignment w:val="baseline"/>
    </w:pPr>
    <w:rPr>
      <w:b/>
      <w:bCs/>
      <w:kern w:val="0"/>
      <w:sz w:val="24"/>
      <w:szCs w:val="24"/>
      <w:lang w:val="en-GB"/>
    </w:rPr>
  </w:style>
  <w:style w:type="paragraph" w:styleId="45">
    <w:name w:val="annotation subject"/>
    <w:basedOn w:val="22"/>
    <w:next w:val="22"/>
    <w:link w:val="95"/>
    <w:semiHidden/>
    <w:qFormat/>
    <w:uiPriority w:val="99"/>
    <w:rPr>
      <w:b/>
      <w:bCs/>
    </w:rPr>
  </w:style>
  <w:style w:type="paragraph" w:styleId="46">
    <w:name w:val="Body Text First Indent"/>
    <w:basedOn w:val="15"/>
    <w:next w:val="17"/>
    <w:link w:val="96"/>
    <w:qFormat/>
    <w:uiPriority w:val="99"/>
    <w:pPr>
      <w:spacing w:line="360" w:lineRule="auto"/>
      <w:ind w:firstLine="200" w:firstLineChars="200"/>
      <w:jc w:val="left"/>
    </w:pPr>
    <w:rPr>
      <w:sz w:val="24"/>
      <w:szCs w:val="24"/>
    </w:rPr>
  </w:style>
  <w:style w:type="paragraph" w:styleId="47">
    <w:name w:val="Body Text First Indent 2"/>
    <w:basedOn w:val="8"/>
    <w:next w:val="48"/>
    <w:link w:val="97"/>
    <w:qFormat/>
    <w:locked/>
    <w:uiPriority w:val="99"/>
    <w:pPr>
      <w:ind w:firstLine="420" w:firstLineChars="200"/>
    </w:pPr>
  </w:style>
  <w:style w:type="paragraph" w:customStyle="1" w:styleId="48">
    <w:name w:val="xl53"/>
    <w:basedOn w:val="1"/>
    <w:next w:val="1"/>
    <w:qFormat/>
    <w:uiPriority w:val="99"/>
    <w:pPr>
      <w:widowControl/>
      <w:pBdr>
        <w:top w:val="single" w:color="auto" w:sz="4" w:space="0"/>
        <w:left w:val="single" w:color="auto" w:sz="8" w:space="0"/>
        <w:bottom w:val="single" w:color="auto" w:sz="8" w:space="0"/>
        <w:right w:val="single" w:color="auto" w:sz="4" w:space="0"/>
      </w:pBdr>
      <w:spacing w:before="100" w:beforeAutospacing="1" w:after="100" w:afterAutospacing="1" w:line="100" w:lineRule="exact"/>
      <w:jc w:val="center"/>
    </w:pPr>
    <w:rPr>
      <w:rFonts w:ascii="宋体" w:hAnsi="宋体"/>
      <w:b/>
      <w:bCs/>
      <w:kern w:val="0"/>
      <w:sz w:val="20"/>
      <w:szCs w:val="20"/>
    </w:rPr>
  </w:style>
  <w:style w:type="table" w:styleId="50">
    <w:name w:val="Table Grid"/>
    <w:basedOn w:val="4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99"/>
    <w:rPr>
      <w:b/>
      <w:bCs/>
    </w:rPr>
  </w:style>
  <w:style w:type="character" w:styleId="53">
    <w:name w:val="page number"/>
    <w:basedOn w:val="51"/>
    <w:qFormat/>
    <w:uiPriority w:val="99"/>
  </w:style>
  <w:style w:type="character" w:styleId="54">
    <w:name w:val="FollowedHyperlink"/>
    <w:qFormat/>
    <w:uiPriority w:val="99"/>
    <w:rPr>
      <w:color w:val="800080"/>
      <w:u w:val="single"/>
    </w:rPr>
  </w:style>
  <w:style w:type="character" w:styleId="55">
    <w:name w:val="Emphasis"/>
    <w:qFormat/>
    <w:uiPriority w:val="99"/>
    <w:rPr>
      <w:i/>
      <w:iCs/>
    </w:rPr>
  </w:style>
  <w:style w:type="character" w:styleId="56">
    <w:name w:val="Hyperlink"/>
    <w:basedOn w:val="51"/>
    <w:qFormat/>
    <w:uiPriority w:val="99"/>
    <w:rPr>
      <w:color w:val="0000FF"/>
      <w:u w:val="single"/>
    </w:rPr>
  </w:style>
  <w:style w:type="character" w:styleId="57">
    <w:name w:val="annotation reference"/>
    <w:semiHidden/>
    <w:qFormat/>
    <w:uiPriority w:val="99"/>
    <w:rPr>
      <w:sz w:val="21"/>
      <w:szCs w:val="21"/>
    </w:rPr>
  </w:style>
  <w:style w:type="character" w:customStyle="1" w:styleId="58">
    <w:name w:val="标题 3 Char"/>
    <w:qFormat/>
    <w:uiPriority w:val="99"/>
    <w:rPr>
      <w:rFonts w:eastAsia="宋体"/>
      <w:b/>
      <w:bCs/>
      <w:kern w:val="2"/>
      <w:sz w:val="32"/>
      <w:szCs w:val="32"/>
      <w:lang w:val="en-US" w:eastAsia="zh-CN"/>
    </w:rPr>
  </w:style>
  <w:style w:type="paragraph" w:customStyle="1" w:styleId="59">
    <w:name w:val="无格式"/>
    <w:basedOn w:val="1"/>
    <w:qFormat/>
    <w:uiPriority w:val="0"/>
  </w:style>
  <w:style w:type="paragraph" w:customStyle="1" w:styleId="60">
    <w:name w:val="样式 表格正文 + 两端对齐"/>
    <w:basedOn w:val="1"/>
    <w:next w:val="61"/>
    <w:qFormat/>
    <w:uiPriority w:val="0"/>
    <w:pPr>
      <w:spacing w:line="300" w:lineRule="auto"/>
    </w:pPr>
  </w:style>
  <w:style w:type="paragraph" w:customStyle="1" w:styleId="61">
    <w:name w:val="正文1"/>
    <w:basedOn w:val="20"/>
    <w:next w:val="62"/>
    <w:qFormat/>
    <w:uiPriority w:val="99"/>
    <w:pPr>
      <w:adjustRightInd w:val="0"/>
      <w:spacing w:line="360" w:lineRule="atLeast"/>
      <w:jc w:val="left"/>
      <w:textAlignment w:val="baseline"/>
    </w:pPr>
    <w:rPr>
      <w:kern w:val="0"/>
    </w:rPr>
  </w:style>
  <w:style w:type="paragraph" w:customStyle="1" w:styleId="62">
    <w:name w:val="自动更正"/>
    <w:next w:val="63"/>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customStyle="1" w:styleId="63">
    <w:name w:val="xl39"/>
    <w:basedOn w:val="1"/>
    <w:next w:val="64"/>
    <w:qFormat/>
    <w:uiPriority w:val="99"/>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center"/>
      <w:textAlignment w:val="center"/>
    </w:pPr>
    <w:rPr>
      <w:rFonts w:ascii="宋体" w:hAnsi="宋体"/>
      <w:color w:val="000000"/>
      <w:kern w:val="0"/>
      <w:sz w:val="18"/>
      <w:szCs w:val="18"/>
    </w:rPr>
  </w:style>
  <w:style w:type="paragraph" w:customStyle="1" w:styleId="64">
    <w:name w:val="分手多日，近况如何？"/>
    <w:next w:val="1"/>
    <w:qFormat/>
    <w:uiPriority w:val="0"/>
    <w:pPr>
      <w:widowControl w:val="0"/>
      <w:spacing w:after="160" w:line="278" w:lineRule="auto"/>
      <w:jc w:val="both"/>
    </w:pPr>
    <w:rPr>
      <w:rFonts w:ascii="Times New Roman" w:hAnsi="Times New Roman" w:eastAsia="宋体" w:cs="Times New Roman"/>
      <w:sz w:val="21"/>
      <w:lang w:val="en-US" w:eastAsia="zh-CN" w:bidi="ar-SA"/>
    </w:rPr>
  </w:style>
  <w:style w:type="paragraph" w:customStyle="1" w:styleId="65">
    <w:name w:val="段落"/>
    <w:basedOn w:val="66"/>
    <w:qFormat/>
    <w:uiPriority w:val="0"/>
    <w:pPr>
      <w:ind w:firstLine="200"/>
    </w:pPr>
    <w:rPr>
      <w:rFonts w:ascii="Verdana" w:hAnsi="Verdana"/>
      <w:color w:val="000000"/>
      <w:shd w:val="clear" w:color="auto" w:fill="FFFFFF"/>
    </w:rPr>
  </w:style>
  <w:style w:type="paragraph" w:styleId="66">
    <w:name w:val="List Paragraph"/>
    <w:basedOn w:val="1"/>
    <w:qFormat/>
    <w:uiPriority w:val="34"/>
    <w:pPr>
      <w:ind w:firstLine="420" w:firstLineChars="200"/>
    </w:pPr>
  </w:style>
  <w:style w:type="paragraph" w:customStyle="1" w:styleId="67">
    <w:name w:val="Default"/>
    <w:qFormat/>
    <w:uiPriority w:val="99"/>
    <w:pPr>
      <w:widowControl w:val="0"/>
      <w:autoSpaceDE w:val="0"/>
      <w:autoSpaceDN w:val="0"/>
      <w:adjustRightInd w:val="0"/>
      <w:spacing w:after="160" w:line="278" w:lineRule="auto"/>
    </w:pPr>
    <w:rPr>
      <w:rFonts w:ascii="黑体" w:hAnsi="Calibri" w:eastAsia="黑体" w:cs="黑体"/>
      <w:color w:val="000000"/>
      <w:sz w:val="24"/>
      <w:szCs w:val="24"/>
      <w:lang w:val="en-US" w:eastAsia="zh-CN" w:bidi="ar-SA"/>
    </w:rPr>
  </w:style>
  <w:style w:type="character" w:customStyle="1" w:styleId="68">
    <w:name w:val="Heading 1 Char"/>
    <w:qFormat/>
    <w:locked/>
    <w:uiPriority w:val="99"/>
    <w:rPr>
      <w:b/>
      <w:bCs/>
      <w:kern w:val="44"/>
      <w:sz w:val="44"/>
      <w:szCs w:val="44"/>
    </w:rPr>
  </w:style>
  <w:style w:type="character" w:customStyle="1" w:styleId="69">
    <w:name w:val="标题 2 字符"/>
    <w:link w:val="4"/>
    <w:qFormat/>
    <w:locked/>
    <w:uiPriority w:val="99"/>
    <w:rPr>
      <w:rFonts w:ascii="Arial" w:hAnsi="Arial" w:eastAsia="黑体" w:cs="Arial"/>
      <w:b/>
      <w:bCs/>
      <w:kern w:val="2"/>
      <w:sz w:val="32"/>
      <w:szCs w:val="32"/>
      <w:lang w:val="en-US" w:eastAsia="zh-CN"/>
    </w:rPr>
  </w:style>
  <w:style w:type="character" w:customStyle="1" w:styleId="70">
    <w:name w:val="标题 3 字符"/>
    <w:link w:val="5"/>
    <w:qFormat/>
    <w:locked/>
    <w:uiPriority w:val="99"/>
    <w:rPr>
      <w:rFonts w:ascii="宋体" w:eastAsia="宋体" w:cs="宋体"/>
      <w:b/>
      <w:bCs/>
      <w:sz w:val="24"/>
      <w:szCs w:val="24"/>
      <w:u w:val="single"/>
      <w:lang w:val="en-US" w:eastAsia="zh-CN"/>
    </w:rPr>
  </w:style>
  <w:style w:type="character" w:customStyle="1" w:styleId="71">
    <w:name w:val="标题 4 字符"/>
    <w:link w:val="6"/>
    <w:qFormat/>
    <w:locked/>
    <w:uiPriority w:val="99"/>
    <w:rPr>
      <w:rFonts w:ascii="Arial" w:hAnsi="Arial" w:eastAsia="黑体" w:cs="Arial"/>
      <w:b/>
      <w:bCs/>
      <w:kern w:val="2"/>
      <w:sz w:val="28"/>
      <w:szCs w:val="28"/>
      <w:lang w:val="en-US" w:eastAsia="zh-CN"/>
    </w:rPr>
  </w:style>
  <w:style w:type="character" w:customStyle="1" w:styleId="72">
    <w:name w:val="标题 5 字符"/>
    <w:link w:val="9"/>
    <w:semiHidden/>
    <w:qFormat/>
    <w:locked/>
    <w:uiPriority w:val="99"/>
    <w:rPr>
      <w:b/>
      <w:bCs/>
      <w:sz w:val="28"/>
      <w:szCs w:val="28"/>
    </w:rPr>
  </w:style>
  <w:style w:type="character" w:customStyle="1" w:styleId="73">
    <w:name w:val="标题 6 字符"/>
    <w:link w:val="10"/>
    <w:semiHidden/>
    <w:qFormat/>
    <w:locked/>
    <w:uiPriority w:val="99"/>
    <w:rPr>
      <w:rFonts w:ascii="Cambria" w:hAnsi="Cambria" w:eastAsia="宋体" w:cs="Cambria"/>
      <w:b/>
      <w:bCs/>
      <w:sz w:val="24"/>
      <w:szCs w:val="24"/>
    </w:rPr>
  </w:style>
  <w:style w:type="character" w:customStyle="1" w:styleId="74">
    <w:name w:val="标题 7 字符"/>
    <w:link w:val="11"/>
    <w:semiHidden/>
    <w:qFormat/>
    <w:locked/>
    <w:uiPriority w:val="99"/>
    <w:rPr>
      <w:b/>
      <w:bCs/>
      <w:sz w:val="24"/>
      <w:szCs w:val="24"/>
    </w:rPr>
  </w:style>
  <w:style w:type="character" w:customStyle="1" w:styleId="75">
    <w:name w:val="标题 8 字符"/>
    <w:link w:val="12"/>
    <w:semiHidden/>
    <w:qFormat/>
    <w:locked/>
    <w:uiPriority w:val="99"/>
    <w:rPr>
      <w:rFonts w:ascii="Cambria" w:hAnsi="Cambria" w:eastAsia="宋体" w:cs="Cambria"/>
      <w:sz w:val="24"/>
      <w:szCs w:val="24"/>
    </w:rPr>
  </w:style>
  <w:style w:type="character" w:customStyle="1" w:styleId="76">
    <w:name w:val="标题 9 字符"/>
    <w:link w:val="13"/>
    <w:semiHidden/>
    <w:qFormat/>
    <w:locked/>
    <w:uiPriority w:val="99"/>
    <w:rPr>
      <w:rFonts w:ascii="Cambria" w:hAnsi="Cambria" w:eastAsia="宋体" w:cs="Cambria"/>
      <w:sz w:val="21"/>
      <w:szCs w:val="21"/>
    </w:rPr>
  </w:style>
  <w:style w:type="character" w:customStyle="1" w:styleId="77">
    <w:name w:val="正文文本缩进 字符"/>
    <w:link w:val="8"/>
    <w:qFormat/>
    <w:locked/>
    <w:uiPriority w:val="99"/>
    <w:rPr>
      <w:rFonts w:ascii="宋体" w:hAnsi="Courier New" w:cs="宋体"/>
      <w:spacing w:val="-4"/>
      <w:kern w:val="2"/>
      <w:sz w:val="18"/>
      <w:szCs w:val="18"/>
    </w:rPr>
  </w:style>
  <w:style w:type="character" w:customStyle="1" w:styleId="78">
    <w:name w:val="正文文本 字符"/>
    <w:link w:val="15"/>
    <w:qFormat/>
    <w:locked/>
    <w:uiPriority w:val="99"/>
    <w:rPr>
      <w:rFonts w:eastAsia="宋体"/>
      <w:kern w:val="2"/>
      <w:sz w:val="24"/>
      <w:szCs w:val="24"/>
      <w:lang w:val="en-US" w:eastAsia="zh-CN"/>
    </w:rPr>
  </w:style>
  <w:style w:type="character" w:customStyle="1" w:styleId="79">
    <w:name w:val="文档结构图 字符"/>
    <w:link w:val="20"/>
    <w:qFormat/>
    <w:locked/>
    <w:uiPriority w:val="99"/>
    <w:rPr>
      <w:rFonts w:eastAsia="宋体"/>
      <w:kern w:val="2"/>
      <w:sz w:val="24"/>
      <w:szCs w:val="24"/>
      <w:lang w:val="en-US" w:eastAsia="zh-CN"/>
    </w:rPr>
  </w:style>
  <w:style w:type="character" w:customStyle="1" w:styleId="80">
    <w:name w:val="批注文字 字符"/>
    <w:link w:val="22"/>
    <w:qFormat/>
    <w:locked/>
    <w:uiPriority w:val="99"/>
    <w:rPr>
      <w:rFonts w:eastAsia="宋体"/>
      <w:kern w:val="2"/>
      <w:sz w:val="24"/>
      <w:szCs w:val="24"/>
      <w:lang w:val="en-US" w:eastAsia="zh-CN"/>
    </w:rPr>
  </w:style>
  <w:style w:type="character" w:customStyle="1" w:styleId="81">
    <w:name w:val="称呼 字符"/>
    <w:link w:val="23"/>
    <w:semiHidden/>
    <w:qFormat/>
    <w:locked/>
    <w:uiPriority w:val="99"/>
    <w:rPr>
      <w:sz w:val="24"/>
      <w:szCs w:val="24"/>
    </w:rPr>
  </w:style>
  <w:style w:type="character" w:customStyle="1" w:styleId="82">
    <w:name w:val="正文文本 3 字符"/>
    <w:link w:val="24"/>
    <w:semiHidden/>
    <w:qFormat/>
    <w:locked/>
    <w:uiPriority w:val="99"/>
    <w:rPr>
      <w:sz w:val="16"/>
      <w:szCs w:val="16"/>
    </w:rPr>
  </w:style>
  <w:style w:type="character" w:customStyle="1" w:styleId="83">
    <w:name w:val="纯文本 字符"/>
    <w:link w:val="28"/>
    <w:qFormat/>
    <w:locked/>
    <w:uiPriority w:val="99"/>
    <w:rPr>
      <w:rFonts w:ascii="宋体" w:hAnsi="Courier New" w:eastAsia="宋体" w:cs="宋体"/>
      <w:kern w:val="2"/>
      <w:sz w:val="24"/>
      <w:szCs w:val="24"/>
      <w:lang w:val="en-US" w:eastAsia="zh-CN"/>
    </w:rPr>
  </w:style>
  <w:style w:type="character" w:customStyle="1" w:styleId="84">
    <w:name w:val="日期 字符"/>
    <w:link w:val="29"/>
    <w:semiHidden/>
    <w:qFormat/>
    <w:locked/>
    <w:uiPriority w:val="99"/>
    <w:rPr>
      <w:sz w:val="24"/>
      <w:szCs w:val="24"/>
    </w:rPr>
  </w:style>
  <w:style w:type="character" w:customStyle="1" w:styleId="85">
    <w:name w:val="正文文本缩进 2 字符"/>
    <w:link w:val="30"/>
    <w:qFormat/>
    <w:locked/>
    <w:uiPriority w:val="99"/>
    <w:rPr>
      <w:rFonts w:ascii="仿宋_GB2312" w:hAnsi="宋体" w:eastAsia="宋体" w:cs="仿宋_GB2312"/>
      <w:b/>
      <w:bCs/>
      <w:color w:val="000000"/>
      <w:kern w:val="2"/>
      <w:sz w:val="24"/>
      <w:szCs w:val="24"/>
      <w:lang w:val="en-US" w:eastAsia="zh-CN"/>
    </w:rPr>
  </w:style>
  <w:style w:type="character" w:customStyle="1" w:styleId="86">
    <w:name w:val="尾注文本 字符"/>
    <w:link w:val="31"/>
    <w:semiHidden/>
    <w:qFormat/>
    <w:locked/>
    <w:uiPriority w:val="99"/>
    <w:rPr>
      <w:sz w:val="24"/>
      <w:szCs w:val="24"/>
    </w:rPr>
  </w:style>
  <w:style w:type="character" w:customStyle="1" w:styleId="87">
    <w:name w:val="批注框文本 字符"/>
    <w:link w:val="32"/>
    <w:qFormat/>
    <w:locked/>
    <w:uiPriority w:val="99"/>
    <w:rPr>
      <w:rFonts w:eastAsia="宋体"/>
      <w:kern w:val="2"/>
      <w:sz w:val="18"/>
      <w:szCs w:val="18"/>
      <w:lang w:val="en-US" w:eastAsia="zh-CN"/>
    </w:rPr>
  </w:style>
  <w:style w:type="character" w:customStyle="1" w:styleId="88">
    <w:name w:val="页脚 字符"/>
    <w:link w:val="33"/>
    <w:qFormat/>
    <w:locked/>
    <w:uiPriority w:val="99"/>
    <w:rPr>
      <w:rFonts w:eastAsia="黑体"/>
      <w:snapToGrid w:val="0"/>
      <w:sz w:val="18"/>
      <w:szCs w:val="18"/>
      <w:lang w:val="en-US" w:eastAsia="zh-CN"/>
    </w:rPr>
  </w:style>
  <w:style w:type="character" w:customStyle="1" w:styleId="89">
    <w:name w:val="页眉 字符"/>
    <w:link w:val="34"/>
    <w:qFormat/>
    <w:locked/>
    <w:uiPriority w:val="99"/>
    <w:rPr>
      <w:rFonts w:eastAsia="仿宋_GB2312"/>
      <w:kern w:val="2"/>
      <w:sz w:val="18"/>
      <w:szCs w:val="18"/>
      <w:lang w:val="en-US" w:eastAsia="zh-CN"/>
    </w:rPr>
  </w:style>
  <w:style w:type="character" w:customStyle="1" w:styleId="90">
    <w:name w:val="副标题 字符"/>
    <w:link w:val="36"/>
    <w:qFormat/>
    <w:locked/>
    <w:uiPriority w:val="99"/>
    <w:rPr>
      <w:rFonts w:ascii="Cambria" w:hAnsi="Cambria" w:cs="Cambria"/>
      <w:b/>
      <w:bCs/>
      <w:kern w:val="28"/>
      <w:sz w:val="32"/>
      <w:szCs w:val="32"/>
    </w:rPr>
  </w:style>
  <w:style w:type="character" w:customStyle="1" w:styleId="91">
    <w:name w:val="正文文本缩进 3 字符"/>
    <w:link w:val="38"/>
    <w:qFormat/>
    <w:locked/>
    <w:uiPriority w:val="99"/>
    <w:rPr>
      <w:rFonts w:ascii="仿宋_GB2312" w:hAnsi="宋体" w:eastAsia="仿宋_GB2312" w:cs="仿宋_GB2312"/>
      <w:color w:val="000000"/>
      <w:kern w:val="2"/>
      <w:sz w:val="24"/>
      <w:szCs w:val="24"/>
      <w:lang w:val="en-US" w:eastAsia="zh-CN"/>
    </w:rPr>
  </w:style>
  <w:style w:type="character" w:customStyle="1" w:styleId="92">
    <w:name w:val="正文文本 2 字符"/>
    <w:link w:val="41"/>
    <w:semiHidden/>
    <w:qFormat/>
    <w:locked/>
    <w:uiPriority w:val="99"/>
    <w:rPr>
      <w:sz w:val="24"/>
      <w:szCs w:val="24"/>
    </w:rPr>
  </w:style>
  <w:style w:type="character" w:customStyle="1" w:styleId="93">
    <w:name w:val="HTML 预设格式 字符"/>
    <w:link w:val="42"/>
    <w:semiHidden/>
    <w:qFormat/>
    <w:locked/>
    <w:uiPriority w:val="99"/>
    <w:rPr>
      <w:rFonts w:ascii="Courier New" w:hAnsi="Courier New" w:cs="Courier New"/>
      <w:sz w:val="20"/>
      <w:szCs w:val="20"/>
    </w:rPr>
  </w:style>
  <w:style w:type="character" w:customStyle="1" w:styleId="94">
    <w:name w:val="标题 字符"/>
    <w:link w:val="44"/>
    <w:qFormat/>
    <w:locked/>
    <w:uiPriority w:val="99"/>
    <w:rPr>
      <w:rFonts w:ascii="Cambria" w:hAnsi="Cambria" w:cs="Cambria"/>
      <w:b/>
      <w:bCs/>
      <w:sz w:val="32"/>
      <w:szCs w:val="32"/>
    </w:rPr>
  </w:style>
  <w:style w:type="character" w:customStyle="1" w:styleId="95">
    <w:name w:val="批注主题 字符"/>
    <w:link w:val="45"/>
    <w:semiHidden/>
    <w:qFormat/>
    <w:locked/>
    <w:uiPriority w:val="99"/>
    <w:rPr>
      <w:rFonts w:eastAsia="宋体"/>
      <w:b/>
      <w:bCs/>
      <w:kern w:val="2"/>
      <w:sz w:val="24"/>
      <w:szCs w:val="24"/>
      <w:lang w:val="en-US" w:eastAsia="zh-CN"/>
    </w:rPr>
  </w:style>
  <w:style w:type="character" w:customStyle="1" w:styleId="96">
    <w:name w:val="正文文本首行缩进 字符"/>
    <w:basedOn w:val="78"/>
    <w:link w:val="46"/>
    <w:semiHidden/>
    <w:qFormat/>
    <w:locked/>
    <w:uiPriority w:val="99"/>
    <w:rPr>
      <w:rFonts w:eastAsia="宋体"/>
      <w:kern w:val="2"/>
      <w:sz w:val="24"/>
      <w:szCs w:val="24"/>
      <w:lang w:val="en-US" w:eastAsia="zh-CN"/>
    </w:rPr>
  </w:style>
  <w:style w:type="character" w:customStyle="1" w:styleId="97">
    <w:name w:val="正文文本首行缩进 2 字符"/>
    <w:link w:val="47"/>
    <w:semiHidden/>
    <w:qFormat/>
    <w:locked/>
    <w:uiPriority w:val="99"/>
    <w:rPr>
      <w:rFonts w:ascii="宋体" w:hAnsi="Courier New" w:cs="宋体"/>
      <w:spacing w:val="-4"/>
      <w:kern w:val="2"/>
      <w:sz w:val="24"/>
      <w:szCs w:val="24"/>
    </w:rPr>
  </w:style>
  <w:style w:type="paragraph" w:customStyle="1" w:styleId="98">
    <w:name w:val="表格文字"/>
    <w:basedOn w:val="1"/>
    <w:next w:val="15"/>
    <w:qFormat/>
    <w:uiPriority w:val="99"/>
    <w:pPr>
      <w:adjustRightInd w:val="0"/>
      <w:spacing w:line="420" w:lineRule="atLeast"/>
      <w:jc w:val="left"/>
      <w:textAlignment w:val="baseline"/>
    </w:pPr>
    <w:rPr>
      <w:kern w:val="0"/>
    </w:rPr>
  </w:style>
  <w:style w:type="character" w:customStyle="1" w:styleId="99">
    <w:name w:val="tw4winInternal"/>
    <w:qFormat/>
    <w:uiPriority w:val="99"/>
    <w:rPr>
      <w:rFonts w:ascii="Courier New" w:hAnsi="Courier New" w:cs="Courier New"/>
      <w:color w:val="FF0000"/>
    </w:rPr>
  </w:style>
  <w:style w:type="character" w:customStyle="1" w:styleId="100">
    <w:name w:val="Char Char3"/>
    <w:qFormat/>
    <w:uiPriority w:val="99"/>
    <w:rPr>
      <w:rFonts w:ascii="仿宋_GB2312" w:hAnsi="宋体" w:eastAsia="仿宋_GB2312" w:cs="仿宋_GB2312"/>
      <w:color w:val="000000"/>
      <w:sz w:val="24"/>
      <w:szCs w:val="24"/>
    </w:rPr>
  </w:style>
  <w:style w:type="character" w:customStyle="1" w:styleId="101">
    <w:name w:val="标题 1 Char Char"/>
    <w:qFormat/>
    <w:uiPriority w:val="99"/>
    <w:rPr>
      <w:rFonts w:eastAsia="宋体"/>
      <w:b/>
      <w:bCs/>
      <w:spacing w:val="-2"/>
      <w:sz w:val="24"/>
      <w:szCs w:val="24"/>
      <w:lang w:val="en-US" w:eastAsia="zh-CN"/>
    </w:rPr>
  </w:style>
  <w:style w:type="character" w:customStyle="1" w:styleId="102">
    <w:name w:val="tw4winMark"/>
    <w:qFormat/>
    <w:uiPriority w:val="99"/>
    <w:rPr>
      <w:rFonts w:ascii="Courier New" w:hAnsi="Courier New" w:cs="Courier New"/>
      <w:vanish/>
      <w:color w:val="800080"/>
      <w:vertAlign w:val="subscript"/>
    </w:rPr>
  </w:style>
  <w:style w:type="character" w:customStyle="1" w:styleId="103">
    <w:name w:val="Normal Indent Char1 Char1 Char2 Char Char Char Char Char Char Char Char Char Char Char Char Char Char"/>
    <w:qFormat/>
    <w:uiPriority w:val="99"/>
    <w:rPr>
      <w:rFonts w:eastAsia="仿宋_GB2312"/>
      <w:kern w:val="2"/>
      <w:sz w:val="24"/>
      <w:szCs w:val="24"/>
      <w:lang w:val="en-US" w:eastAsia="zh-CN"/>
    </w:rPr>
  </w:style>
  <w:style w:type="character" w:customStyle="1" w:styleId="104">
    <w:name w:val="style11"/>
    <w:qFormat/>
    <w:uiPriority w:val="99"/>
    <w:rPr>
      <w:rFonts w:eastAsia="宋体"/>
      <w:kern w:val="2"/>
      <w:sz w:val="21"/>
      <w:szCs w:val="21"/>
      <w:lang w:val="en-US" w:eastAsia="zh-CN"/>
    </w:rPr>
  </w:style>
  <w:style w:type="character" w:customStyle="1" w:styleId="105">
    <w:name w:val="font2"/>
    <w:qFormat/>
    <w:uiPriority w:val="99"/>
    <w:rPr>
      <w:rFonts w:ascii="Arial" w:hAnsi="Arial" w:cs="Arial"/>
      <w:color w:val="auto"/>
      <w:spacing w:val="0"/>
      <w:sz w:val="18"/>
      <w:szCs w:val="18"/>
    </w:rPr>
  </w:style>
  <w:style w:type="character" w:customStyle="1" w:styleId="106">
    <w:name w:val="b titlename wangputoptitle"/>
    <w:basedOn w:val="51"/>
    <w:qFormat/>
    <w:uiPriority w:val="99"/>
  </w:style>
  <w:style w:type="character" w:customStyle="1" w:styleId="107">
    <w:name w:val="tw4winTerm"/>
    <w:qFormat/>
    <w:uiPriority w:val="99"/>
    <w:rPr>
      <w:color w:val="0000FF"/>
    </w:rPr>
  </w:style>
  <w:style w:type="character" w:customStyle="1" w:styleId="108">
    <w:name w:val="样式 小四"/>
    <w:qFormat/>
    <w:uiPriority w:val="99"/>
    <w:rPr>
      <w:sz w:val="21"/>
      <w:szCs w:val="21"/>
    </w:rPr>
  </w:style>
  <w:style w:type="character" w:customStyle="1" w:styleId="109">
    <w:name w:val="para"/>
    <w:basedOn w:val="51"/>
    <w:qFormat/>
    <w:uiPriority w:val="99"/>
  </w:style>
  <w:style w:type="character" w:customStyle="1" w:styleId="110">
    <w:name w:val="tw4winError"/>
    <w:qFormat/>
    <w:uiPriority w:val="99"/>
    <w:rPr>
      <w:rFonts w:ascii="Courier New" w:hAnsi="Courier New" w:cs="Courier New"/>
      <w:color w:val="00FF00"/>
      <w:sz w:val="40"/>
      <w:szCs w:val="40"/>
    </w:rPr>
  </w:style>
  <w:style w:type="character" w:customStyle="1" w:styleId="111">
    <w:name w:val="正文缩进 字符"/>
    <w:link w:val="7"/>
    <w:qFormat/>
    <w:locked/>
    <w:uiPriority w:val="99"/>
    <w:rPr>
      <w:rFonts w:eastAsia="宋体"/>
      <w:kern w:val="2"/>
      <w:sz w:val="21"/>
      <w:szCs w:val="21"/>
      <w:lang w:val="en-US" w:eastAsia="zh-CN"/>
    </w:rPr>
  </w:style>
  <w:style w:type="character" w:customStyle="1" w:styleId="112">
    <w:name w:val="style31"/>
    <w:qFormat/>
    <w:uiPriority w:val="99"/>
    <w:rPr>
      <w:color w:val="auto"/>
    </w:rPr>
  </w:style>
  <w:style w:type="character" w:customStyle="1" w:styleId="113">
    <w:name w:val="!我的正文 Ctr+Q Char"/>
    <w:link w:val="114"/>
    <w:qFormat/>
    <w:locked/>
    <w:uiPriority w:val="99"/>
    <w:rPr>
      <w:rFonts w:ascii="Arial" w:hAnsi="Arial" w:eastAsia="宋体" w:cs="Arial"/>
      <w:kern w:val="2"/>
      <w:sz w:val="21"/>
      <w:szCs w:val="21"/>
      <w:lang w:val="en-US" w:eastAsia="zh-CN"/>
    </w:rPr>
  </w:style>
  <w:style w:type="paragraph" w:customStyle="1" w:styleId="114">
    <w:name w:val="!我的正文 Ctr+Q"/>
    <w:basedOn w:val="1"/>
    <w:link w:val="113"/>
    <w:qFormat/>
    <w:uiPriority w:val="99"/>
    <w:pPr>
      <w:adjustRightInd w:val="0"/>
      <w:snapToGrid w:val="0"/>
      <w:spacing w:line="360" w:lineRule="auto"/>
      <w:ind w:firstLine="480" w:firstLineChars="200"/>
    </w:pPr>
    <w:rPr>
      <w:rFonts w:ascii="Arial" w:hAnsi="Arial" w:cs="Arial"/>
    </w:rPr>
  </w:style>
  <w:style w:type="character" w:customStyle="1" w:styleId="115">
    <w:name w:val="font3"/>
    <w:basedOn w:val="51"/>
    <w:qFormat/>
    <w:uiPriority w:val="99"/>
  </w:style>
  <w:style w:type="character" w:customStyle="1" w:styleId="116">
    <w:name w:val="tw4winExternal"/>
    <w:qFormat/>
    <w:uiPriority w:val="99"/>
    <w:rPr>
      <w:rFonts w:ascii="Courier New" w:hAnsi="Courier New" w:cs="Courier New"/>
      <w:color w:val="808080"/>
    </w:rPr>
  </w:style>
  <w:style w:type="character" w:customStyle="1" w:styleId="117">
    <w:name w:val="标题 1 字符"/>
    <w:link w:val="3"/>
    <w:qFormat/>
    <w:locked/>
    <w:uiPriority w:val="99"/>
    <w:rPr>
      <w:rFonts w:eastAsia="宋体"/>
      <w:b/>
      <w:bCs/>
      <w:kern w:val="44"/>
      <w:sz w:val="44"/>
      <w:szCs w:val="44"/>
      <w:lang w:val="en-US" w:eastAsia="zh-CN"/>
    </w:rPr>
  </w:style>
  <w:style w:type="character" w:customStyle="1" w:styleId="118">
    <w:name w:val="point_normal1"/>
    <w:qFormat/>
    <w:uiPriority w:val="99"/>
    <w:rPr>
      <w:rFonts w:ascii="Arial" w:hAnsi="Arial" w:cs="Arial"/>
      <w:sz w:val="18"/>
      <w:szCs w:val="18"/>
    </w:rPr>
  </w:style>
  <w:style w:type="character" w:customStyle="1" w:styleId="119">
    <w:name w:val="fontblank12"/>
    <w:basedOn w:val="51"/>
    <w:qFormat/>
    <w:uiPriority w:val="99"/>
  </w:style>
  <w:style w:type="character" w:customStyle="1" w:styleId="120">
    <w:name w:val="huide001"/>
    <w:qFormat/>
    <w:uiPriority w:val="99"/>
    <w:rPr>
      <w:rFonts w:ascii="Arial" w:hAnsi="Arial" w:cs="Arial"/>
      <w:color w:val="666666"/>
      <w:sz w:val="18"/>
      <w:szCs w:val="18"/>
    </w:rPr>
  </w:style>
  <w:style w:type="character" w:customStyle="1" w:styleId="121">
    <w:name w:val="tw4winPopup"/>
    <w:qFormat/>
    <w:uiPriority w:val="99"/>
    <w:rPr>
      <w:rFonts w:ascii="Courier New" w:hAnsi="Courier New" w:cs="Courier New"/>
      <w:color w:val="008000"/>
    </w:rPr>
  </w:style>
  <w:style w:type="character" w:customStyle="1" w:styleId="122">
    <w:name w:val="unnamed11"/>
    <w:qFormat/>
    <w:uiPriority w:val="99"/>
    <w:rPr>
      <w:sz w:val="20"/>
      <w:szCs w:val="20"/>
    </w:rPr>
  </w:style>
  <w:style w:type="character" w:customStyle="1" w:styleId="123">
    <w:name w:val="pagetitle"/>
    <w:basedOn w:val="51"/>
    <w:qFormat/>
    <w:uiPriority w:val="99"/>
  </w:style>
  <w:style w:type="character" w:customStyle="1" w:styleId="124">
    <w:name w:val="line1"/>
    <w:qFormat/>
    <w:uiPriority w:val="99"/>
    <w:rPr>
      <w:u w:val="none"/>
    </w:rPr>
  </w:style>
  <w:style w:type="character" w:customStyle="1" w:styleId="125">
    <w:name w:val="text11"/>
    <w:qFormat/>
    <w:uiPriority w:val="99"/>
    <w:rPr>
      <w:rFonts w:ascii="Verdana" w:hAnsi="Verdana" w:cs="Verdana"/>
      <w:color w:val="auto"/>
      <w:sz w:val="18"/>
      <w:szCs w:val="18"/>
    </w:rPr>
  </w:style>
  <w:style w:type="character" w:customStyle="1" w:styleId="126">
    <w:name w:val="样式 样式3 + 宋体 五号 Char Char Char Char"/>
    <w:qFormat/>
    <w:uiPriority w:val="99"/>
    <w:rPr>
      <w:rFonts w:ascii="宋体" w:hAnsi="宋体" w:eastAsia="宋体" w:cs="宋体"/>
      <w:b/>
      <w:bCs/>
      <w:kern w:val="2"/>
      <w:sz w:val="24"/>
      <w:szCs w:val="24"/>
      <w:lang w:val="en-US" w:eastAsia="zh-CN"/>
    </w:rPr>
  </w:style>
  <w:style w:type="character" w:customStyle="1" w:styleId="127">
    <w:name w:val="A C"/>
    <w:qFormat/>
    <w:uiPriority w:val="99"/>
    <w:rPr>
      <w:rFonts w:ascii="仿宋_GB2312" w:cs="仿宋_GB2312"/>
      <w:sz w:val="24"/>
      <w:szCs w:val="24"/>
    </w:rPr>
  </w:style>
  <w:style w:type="character" w:customStyle="1" w:styleId="128">
    <w:name w:val="tw4winJump"/>
    <w:qFormat/>
    <w:uiPriority w:val="99"/>
    <w:rPr>
      <w:rFonts w:ascii="Courier New" w:hAnsi="Courier New" w:cs="Courier New"/>
      <w:color w:val="008080"/>
    </w:rPr>
  </w:style>
  <w:style w:type="character" w:customStyle="1" w:styleId="129">
    <w:name w:val="Char Char7"/>
    <w:qFormat/>
    <w:uiPriority w:val="99"/>
    <w:rPr>
      <w:rFonts w:ascii="Cambria" w:hAnsi="Cambria" w:eastAsia="宋体" w:cs="Cambria"/>
      <w:b/>
      <w:bCs/>
      <w:sz w:val="32"/>
      <w:szCs w:val="32"/>
    </w:rPr>
  </w:style>
  <w:style w:type="character" w:customStyle="1" w:styleId="130">
    <w:name w:val="style101"/>
    <w:qFormat/>
    <w:uiPriority w:val="99"/>
    <w:rPr>
      <w:color w:val="FFFFFF"/>
    </w:rPr>
  </w:style>
  <w:style w:type="paragraph" w:customStyle="1" w:styleId="131">
    <w:name w:val="样式2"/>
    <w:basedOn w:val="4"/>
    <w:qFormat/>
    <w:uiPriority w:val="99"/>
    <w:pPr>
      <w:tabs>
        <w:tab w:val="left" w:pos="600"/>
      </w:tabs>
      <w:ind w:left="600" w:hanging="600"/>
    </w:pPr>
    <w:rPr>
      <w:rFonts w:eastAsia="宋体"/>
    </w:rPr>
  </w:style>
  <w:style w:type="paragraph" w:customStyle="1" w:styleId="132">
    <w:name w:val="p0"/>
    <w:basedOn w:val="1"/>
    <w:qFormat/>
    <w:uiPriority w:val="99"/>
    <w:pPr>
      <w:widowControl/>
      <w:spacing w:after="50"/>
    </w:pPr>
    <w:rPr>
      <w:kern w:val="0"/>
    </w:rPr>
  </w:style>
  <w:style w:type="paragraph" w:customStyle="1" w:styleId="133">
    <w:name w:val="样式 正文文本缩进 + 仿宋_GB2312 小四 首行缩进:  0 厘米 行距: 1.5 倍行距"/>
    <w:basedOn w:val="8"/>
    <w:qFormat/>
    <w:uiPriority w:val="99"/>
    <w:pPr>
      <w:spacing w:line="360" w:lineRule="auto"/>
      <w:ind w:firstLine="0"/>
    </w:pPr>
    <w:rPr>
      <w:rFonts w:ascii="仿宋_GB2312" w:hAnsi="Times New Roman" w:eastAsia="新宋体" w:cs="仿宋_GB2312"/>
      <w:spacing w:val="0"/>
      <w:sz w:val="24"/>
      <w:szCs w:val="24"/>
    </w:rPr>
  </w:style>
  <w:style w:type="paragraph" w:customStyle="1" w:styleId="134">
    <w:name w:val="text"/>
    <w:basedOn w:val="1"/>
    <w:qFormat/>
    <w:uiPriority w:val="99"/>
    <w:pPr>
      <w:adjustRightInd w:val="0"/>
      <w:spacing w:before="120" w:line="360" w:lineRule="auto"/>
      <w:ind w:firstLine="425"/>
      <w:jc w:val="left"/>
      <w:textAlignment w:val="baseline"/>
    </w:pPr>
    <w:rPr>
      <w:rFonts w:ascii="宋体" w:hAnsi="Arial" w:cs="宋体"/>
      <w:kern w:val="0"/>
      <w:sz w:val="26"/>
      <w:szCs w:val="26"/>
    </w:rPr>
  </w:style>
  <w:style w:type="paragraph" w:customStyle="1" w:styleId="135">
    <w:name w:val="Paragraph2"/>
    <w:basedOn w:val="1"/>
    <w:qFormat/>
    <w:uiPriority w:val="99"/>
    <w:pPr>
      <w:spacing w:before="80" w:afterLines="50"/>
      <w:ind w:left="720"/>
    </w:pPr>
    <w:rPr>
      <w:rFonts w:ascii="宋体" w:cs="宋体"/>
      <w:color w:val="000000"/>
      <w:kern w:val="0"/>
      <w:lang w:val="en-AU"/>
    </w:rPr>
  </w:style>
  <w:style w:type="paragraph" w:customStyle="1" w:styleId="136">
    <w:name w:val="Char Char Char Char Char Char Char Char Char Char"/>
    <w:basedOn w:val="20"/>
    <w:qFormat/>
    <w:uiPriority w:val="99"/>
    <w:rPr>
      <w:rFonts w:ascii="Tahoma" w:hAnsi="Tahoma" w:cs="Tahoma"/>
      <w:sz w:val="24"/>
      <w:szCs w:val="24"/>
    </w:rPr>
  </w:style>
  <w:style w:type="paragraph" w:customStyle="1" w:styleId="137">
    <w:name w:val="P3"/>
    <w:basedOn w:val="1"/>
    <w:qFormat/>
    <w:uiPriority w:val="99"/>
    <w:pPr>
      <w:widowControl/>
      <w:spacing w:before="240" w:line="240" w:lineRule="atLeast"/>
      <w:ind w:left="1152"/>
      <w:jc w:val="left"/>
    </w:pPr>
    <w:rPr>
      <w:b/>
      <w:bCs/>
      <w:kern w:val="0"/>
      <w:lang w:val="en-AU" w:eastAsia="en-US"/>
    </w:rPr>
  </w:style>
  <w:style w:type="paragraph" w:customStyle="1" w:styleId="138">
    <w:name w:val="Char1 Char Char Char Char Char Char"/>
    <w:basedOn w:val="1"/>
    <w:qFormat/>
    <w:uiPriority w:val="99"/>
    <w:rPr>
      <w:rFonts w:ascii="Tahoma" w:hAnsi="Tahoma" w:cs="Tahoma"/>
      <w:sz w:val="24"/>
      <w:szCs w:val="24"/>
    </w:rPr>
  </w:style>
  <w:style w:type="paragraph" w:customStyle="1" w:styleId="139">
    <w:name w:val="Paragraph4"/>
    <w:basedOn w:val="1"/>
    <w:qFormat/>
    <w:uiPriority w:val="99"/>
    <w:pPr>
      <w:spacing w:before="80" w:afterLines="50"/>
      <w:ind w:left="2250"/>
    </w:pPr>
    <w:rPr>
      <w:rFonts w:ascii="宋体" w:cs="宋体"/>
      <w:kern w:val="0"/>
    </w:rPr>
  </w:style>
  <w:style w:type="paragraph" w:customStyle="1" w:styleId="140">
    <w:name w:val="图"/>
    <w:basedOn w:val="1"/>
    <w:qFormat/>
    <w:uiPriority w:val="99"/>
    <w:pPr>
      <w:keepNext/>
      <w:adjustRightInd w:val="0"/>
      <w:snapToGrid w:val="0"/>
      <w:spacing w:before="60" w:after="60" w:line="300" w:lineRule="auto"/>
      <w:jc w:val="center"/>
    </w:pPr>
    <w:rPr>
      <w:spacing w:val="20"/>
      <w:kern w:val="0"/>
      <w:sz w:val="24"/>
      <w:szCs w:val="24"/>
    </w:rPr>
  </w:style>
  <w:style w:type="paragraph" w:customStyle="1" w:styleId="141">
    <w:name w:val="样式 标题 3Chapter X.X.X. + 五号 段后: 0.5 行"/>
    <w:basedOn w:val="5"/>
    <w:qFormat/>
    <w:uiPriority w:val="99"/>
    <w:pPr>
      <w:keepLines w:val="0"/>
      <w:autoSpaceDE/>
      <w:autoSpaceDN/>
      <w:adjustRightInd/>
      <w:spacing w:before="120" w:afterLines="50"/>
    </w:pPr>
    <w:rPr>
      <w:sz w:val="21"/>
      <w:szCs w:val="21"/>
      <w:u w:val="none"/>
    </w:rPr>
  </w:style>
  <w:style w:type="paragraph" w:customStyle="1" w:styleId="142">
    <w:name w:val="封面标准文稿编辑信息"/>
    <w:qFormat/>
    <w:uiPriority w:val="99"/>
    <w:pPr>
      <w:spacing w:before="180" w:after="160" w:line="180" w:lineRule="exact"/>
      <w:jc w:val="center"/>
    </w:pPr>
    <w:rPr>
      <w:rFonts w:ascii="宋体" w:hAnsi="Times New Roman" w:eastAsia="宋体" w:cs="宋体"/>
      <w:sz w:val="21"/>
      <w:szCs w:val="21"/>
      <w:lang w:val="en-US" w:eastAsia="zh-CN" w:bidi="ar-SA"/>
    </w:rPr>
  </w:style>
  <w:style w:type="paragraph" w:customStyle="1" w:styleId="143">
    <w:name w:val="TableTextLeft"/>
    <w:qFormat/>
    <w:uiPriority w:val="99"/>
    <w:pPr>
      <w:spacing w:after="160" w:line="278" w:lineRule="auto"/>
    </w:pPr>
    <w:rPr>
      <w:rFonts w:ascii="Century Gothic" w:hAnsi="Century Gothic" w:eastAsia="宋体" w:cs="Century Gothic"/>
      <w:lang w:val="en-US" w:eastAsia="en-US" w:bidi="ar-SA"/>
    </w:rPr>
  </w:style>
  <w:style w:type="paragraph" w:customStyle="1" w:styleId="144">
    <w:name w:val="Body"/>
    <w:basedOn w:val="1"/>
    <w:qFormat/>
    <w:uiPriority w:val="99"/>
    <w:pPr>
      <w:widowControl/>
      <w:spacing w:before="120" w:afterLines="50"/>
    </w:pPr>
    <w:rPr>
      <w:rFonts w:ascii="宋体" w:cs="宋体"/>
      <w:kern w:val="0"/>
    </w:rPr>
  </w:style>
  <w:style w:type="paragraph" w:customStyle="1" w:styleId="145">
    <w:name w:val="Char Char Char Char1 Char Char"/>
    <w:basedOn w:val="1"/>
    <w:qFormat/>
    <w:uiPriority w:val="99"/>
    <w:pPr>
      <w:widowControl/>
      <w:spacing w:line="240" w:lineRule="exact"/>
      <w:jc w:val="left"/>
    </w:pPr>
    <w:rPr>
      <w:rFonts w:ascii="Verdana" w:hAnsi="Verdana" w:cs="Verdana"/>
      <w:kern w:val="0"/>
      <w:sz w:val="20"/>
      <w:szCs w:val="20"/>
      <w:lang w:eastAsia="en-US"/>
    </w:rPr>
  </w:style>
  <w:style w:type="paragraph" w:customStyle="1" w:styleId="146">
    <w:name w:val="标准标题2"/>
    <w:basedOn w:val="4"/>
    <w:qFormat/>
    <w:uiPriority w:val="99"/>
    <w:pPr>
      <w:spacing w:line="360" w:lineRule="auto"/>
    </w:pPr>
    <w:rPr>
      <w:rFonts w:eastAsia="仿宋_GB2312"/>
      <w:sz w:val="28"/>
      <w:szCs w:val="28"/>
    </w:rPr>
  </w:style>
  <w:style w:type="paragraph" w:customStyle="1" w:styleId="147">
    <w:name w:val="Blockquote"/>
    <w:basedOn w:val="1"/>
    <w:qFormat/>
    <w:uiPriority w:val="99"/>
    <w:pPr>
      <w:widowControl/>
      <w:spacing w:before="100" w:afterLines="50"/>
      <w:ind w:left="360" w:right="360"/>
      <w:jc w:val="left"/>
    </w:pPr>
    <w:rPr>
      <w:rFonts w:ascii="宋体" w:cs="宋体"/>
      <w:kern w:val="0"/>
      <w:sz w:val="24"/>
      <w:szCs w:val="24"/>
      <w:lang w:val="en-CA"/>
    </w:rPr>
  </w:style>
  <w:style w:type="paragraph" w:customStyle="1" w:styleId="148">
    <w:name w:val="Char Char3 Char Char Char Char"/>
    <w:basedOn w:val="1"/>
    <w:qFormat/>
    <w:uiPriority w:val="99"/>
    <w:pPr>
      <w:widowControl/>
      <w:spacing w:line="360" w:lineRule="auto"/>
      <w:jc w:val="left"/>
    </w:pPr>
    <w:rPr>
      <w:rFonts w:ascii="Verdana" w:hAnsi="Verdana" w:cs="Verdana"/>
      <w:kern w:val="0"/>
      <w:sz w:val="24"/>
      <w:szCs w:val="24"/>
      <w:lang w:eastAsia="en-US"/>
    </w:rPr>
  </w:style>
  <w:style w:type="paragraph" w:customStyle="1" w:styleId="149">
    <w:name w:val="Char Char Char Char Char Char Char Char Char Char Char Char Char Char Char Char"/>
    <w:basedOn w:val="1"/>
    <w:qFormat/>
    <w:uiPriority w:val="99"/>
    <w:pPr>
      <w:tabs>
        <w:tab w:val="left" w:pos="360"/>
      </w:tabs>
    </w:pPr>
    <w:rPr>
      <w:sz w:val="24"/>
      <w:szCs w:val="24"/>
    </w:rPr>
  </w:style>
  <w:style w:type="paragraph" w:customStyle="1" w:styleId="150">
    <w:name w:val="表格标题(居中)"/>
    <w:basedOn w:val="1"/>
    <w:qFormat/>
    <w:uiPriority w:val="99"/>
    <w:pPr>
      <w:adjustRightInd w:val="0"/>
      <w:snapToGrid w:val="0"/>
      <w:spacing w:line="300" w:lineRule="auto"/>
      <w:ind w:firstLine="200" w:firstLineChars="200"/>
      <w:jc w:val="center"/>
    </w:pPr>
    <w:rPr>
      <w:rFonts w:eastAsia="黑体"/>
      <w:color w:val="000000"/>
      <w:kern w:val="0"/>
      <w:sz w:val="24"/>
      <w:szCs w:val="24"/>
    </w:rPr>
  </w:style>
  <w:style w:type="paragraph" w:customStyle="1" w:styleId="151">
    <w:name w:val="Char3 Char Char Char"/>
    <w:basedOn w:val="1"/>
    <w:qFormat/>
    <w:uiPriority w:val="99"/>
    <w:pPr>
      <w:tabs>
        <w:tab w:val="left" w:pos="1455"/>
      </w:tabs>
      <w:ind w:left="1455" w:hanging="1275"/>
    </w:pPr>
    <w:rPr>
      <w:sz w:val="24"/>
      <w:szCs w:val="24"/>
    </w:rPr>
  </w:style>
  <w:style w:type="paragraph" w:customStyle="1" w:styleId="152">
    <w:name w:val="样式　标题4"/>
    <w:basedOn w:val="153"/>
    <w:next w:val="1"/>
    <w:qFormat/>
    <w:uiPriority w:val="99"/>
  </w:style>
  <w:style w:type="paragraph" w:customStyle="1" w:styleId="153">
    <w:name w:val="样式 标题 4Chapter X.X.X. + 段后: 0.5 行1"/>
    <w:basedOn w:val="6"/>
    <w:next w:val="6"/>
    <w:qFormat/>
    <w:uiPriority w:val="99"/>
    <w:pPr>
      <w:keepLines w:val="0"/>
      <w:spacing w:before="120" w:afterLines="50" w:line="240" w:lineRule="auto"/>
      <w:ind w:left="425" w:hanging="425"/>
      <w:jc w:val="left"/>
    </w:pPr>
    <w:rPr>
      <w:rFonts w:ascii="宋体" w:hAnsi="Times New Roman" w:eastAsia="宋体" w:cs="宋体"/>
      <w:kern w:val="0"/>
      <w:sz w:val="21"/>
      <w:szCs w:val="21"/>
    </w:rPr>
  </w:style>
  <w:style w:type="paragraph" w:customStyle="1" w:styleId="154">
    <w:name w:val="样式 标题 2 + 五号"/>
    <w:basedOn w:val="4"/>
    <w:qFormat/>
    <w:uiPriority w:val="99"/>
    <w:pPr>
      <w:spacing w:before="0" w:after="0" w:line="240" w:lineRule="auto"/>
    </w:pPr>
    <w:rPr>
      <w:rFonts w:ascii="宋体" w:hAnsi="宋体" w:eastAsia="宋体" w:cs="宋体"/>
      <w:sz w:val="21"/>
      <w:szCs w:val="21"/>
    </w:rPr>
  </w:style>
  <w:style w:type="paragraph" w:customStyle="1" w:styleId="155">
    <w:name w:val="Main Title"/>
    <w:basedOn w:val="1"/>
    <w:qFormat/>
    <w:uiPriority w:val="99"/>
    <w:pPr>
      <w:spacing w:before="480" w:afterLines="50"/>
      <w:jc w:val="center"/>
    </w:pPr>
    <w:rPr>
      <w:rFonts w:ascii="宋体" w:cs="宋体"/>
      <w:b/>
      <w:bCs/>
      <w:kern w:val="28"/>
      <w:sz w:val="32"/>
      <w:szCs w:val="32"/>
    </w:rPr>
  </w:style>
  <w:style w:type="paragraph" w:customStyle="1" w:styleId="156">
    <w:name w:val="表格内容"/>
    <w:basedOn w:val="15"/>
    <w:qFormat/>
    <w:uiPriority w:val="99"/>
    <w:pPr>
      <w:suppressLineNumbers/>
      <w:suppressAutoHyphens/>
    </w:pPr>
    <w:rPr>
      <w:kern w:val="1"/>
      <w:sz w:val="21"/>
      <w:szCs w:val="21"/>
      <w:lang w:eastAsia="ar-SA"/>
    </w:rPr>
  </w:style>
  <w:style w:type="paragraph" w:customStyle="1" w:styleId="157">
    <w:name w:val="段"/>
    <w:qFormat/>
    <w:uiPriority w:val="99"/>
    <w:pPr>
      <w:autoSpaceDE w:val="0"/>
      <w:autoSpaceDN w:val="0"/>
      <w:spacing w:after="160" w:line="278" w:lineRule="auto"/>
      <w:ind w:firstLine="200" w:firstLineChars="200"/>
      <w:jc w:val="both"/>
    </w:pPr>
    <w:rPr>
      <w:rFonts w:ascii="宋体" w:hAnsi="Times New Roman" w:eastAsia="宋体" w:cs="宋体"/>
      <w:sz w:val="21"/>
      <w:szCs w:val="21"/>
      <w:lang w:val="en-US" w:eastAsia="zh-CN" w:bidi="ar-SA"/>
    </w:rPr>
  </w:style>
  <w:style w:type="paragraph" w:customStyle="1" w:styleId="158">
    <w:name w:val="S4-L15-C"/>
    <w:basedOn w:val="1"/>
    <w:qFormat/>
    <w:uiPriority w:val="99"/>
    <w:pPr>
      <w:spacing w:after="120" w:line="360" w:lineRule="auto"/>
      <w:jc w:val="center"/>
    </w:pPr>
  </w:style>
  <w:style w:type="paragraph" w:customStyle="1" w:styleId="159">
    <w:name w:val="样式 标题 4 + 段后: 0.5 行"/>
    <w:basedOn w:val="6"/>
    <w:qFormat/>
    <w:uiPriority w:val="99"/>
    <w:pPr>
      <w:keepLines w:val="0"/>
      <w:spacing w:before="120" w:afterLines="50" w:line="240" w:lineRule="auto"/>
      <w:jc w:val="left"/>
    </w:pPr>
    <w:rPr>
      <w:rFonts w:ascii="宋体" w:hAnsi="Times New Roman" w:eastAsia="宋体" w:cs="宋体"/>
      <w:kern w:val="0"/>
      <w:sz w:val="21"/>
      <w:szCs w:val="21"/>
    </w:rPr>
  </w:style>
  <w:style w:type="paragraph" w:customStyle="1" w:styleId="160">
    <w:name w:val="样式 标题 4"/>
    <w:basedOn w:val="161"/>
    <w:next w:val="162"/>
    <w:qFormat/>
    <w:uiPriority w:val="99"/>
    <w:pPr>
      <w:tabs>
        <w:tab w:val="left" w:pos="2100"/>
      </w:tabs>
      <w:spacing w:after="50"/>
      <w:ind w:left="2100" w:hanging="420"/>
    </w:pPr>
  </w:style>
  <w:style w:type="paragraph" w:customStyle="1" w:styleId="161">
    <w:name w:val="样式 标题 4Chapter X.X.X.X. + 段后: 0.5 行1"/>
    <w:basedOn w:val="159"/>
    <w:qFormat/>
    <w:uiPriority w:val="99"/>
    <w:pPr>
      <w:spacing w:after="120"/>
    </w:pPr>
  </w:style>
  <w:style w:type="paragraph" w:customStyle="1" w:styleId="162">
    <w:name w:val="样式 正文"/>
    <w:basedOn w:val="1"/>
    <w:next w:val="1"/>
    <w:qFormat/>
    <w:uiPriority w:val="99"/>
    <w:pPr>
      <w:spacing w:afterLines="50"/>
      <w:jc w:val="left"/>
    </w:pPr>
    <w:rPr>
      <w:rFonts w:ascii="宋体" w:cs="宋体"/>
      <w:kern w:val="0"/>
    </w:rPr>
  </w:style>
  <w:style w:type="paragraph" w:customStyle="1" w:styleId="163">
    <w:name w:val="Char Char"/>
    <w:basedOn w:val="1"/>
    <w:qFormat/>
    <w:uiPriority w:val="99"/>
    <w:pPr>
      <w:spacing w:line="240" w:lineRule="atLeast"/>
      <w:ind w:left="420" w:firstLine="420"/>
    </w:pPr>
    <w:rPr>
      <w:kern w:val="0"/>
    </w:rPr>
  </w:style>
  <w:style w:type="paragraph" w:customStyle="1" w:styleId="164">
    <w:name w:val="表格标题"/>
    <w:basedOn w:val="156"/>
    <w:qFormat/>
    <w:uiPriority w:val="99"/>
    <w:pPr>
      <w:jc w:val="center"/>
    </w:pPr>
    <w:rPr>
      <w:b/>
      <w:bCs/>
      <w:i/>
      <w:iCs/>
    </w:rPr>
  </w:style>
  <w:style w:type="paragraph" w:customStyle="1" w:styleId="165">
    <w:name w:val="样式 标题 1 + 段后: 0.5 行"/>
    <w:basedOn w:val="3"/>
    <w:qFormat/>
    <w:uiPriority w:val="99"/>
    <w:pPr>
      <w:keepLines w:val="0"/>
      <w:spacing w:before="120" w:afterLines="50" w:line="240" w:lineRule="auto"/>
      <w:jc w:val="left"/>
    </w:pPr>
    <w:rPr>
      <w:rFonts w:ascii="宋体" w:cs="宋体"/>
      <w:kern w:val="0"/>
      <w:sz w:val="28"/>
      <w:szCs w:val="28"/>
    </w:rPr>
  </w:style>
  <w:style w:type="paragraph" w:customStyle="1" w:styleId="166">
    <w:name w:val="最新标题3"/>
    <w:basedOn w:val="167"/>
    <w:next w:val="168"/>
    <w:qFormat/>
    <w:uiPriority w:val="99"/>
  </w:style>
  <w:style w:type="paragraph" w:customStyle="1" w:styleId="167">
    <w:name w:val="样式 标题 3"/>
    <w:basedOn w:val="5"/>
    <w:next w:val="168"/>
    <w:qFormat/>
    <w:uiPriority w:val="99"/>
    <w:pPr>
      <w:keepLines w:val="0"/>
      <w:autoSpaceDE/>
      <w:autoSpaceDN/>
      <w:adjustRightInd/>
      <w:spacing w:before="120" w:afterLines="50"/>
    </w:pPr>
    <w:rPr>
      <w:u w:val="none"/>
    </w:rPr>
  </w:style>
  <w:style w:type="paragraph" w:customStyle="1" w:styleId="168">
    <w:name w:val="最新标题4"/>
    <w:basedOn w:val="160"/>
    <w:next w:val="1"/>
    <w:qFormat/>
    <w:uiPriority w:val="99"/>
    <w:pPr>
      <w:tabs>
        <w:tab w:val="clear" w:pos="2100"/>
      </w:tabs>
      <w:spacing w:after="120"/>
      <w:ind w:left="0" w:firstLine="0"/>
    </w:pPr>
  </w:style>
  <w:style w:type="paragraph" w:customStyle="1" w:styleId="169">
    <w:name w:val="Char Char Char1 Char Char Char Char"/>
    <w:basedOn w:val="1"/>
    <w:qFormat/>
    <w:uiPriority w:val="99"/>
    <w:rPr>
      <w:rFonts w:ascii="仿宋_GB2312" w:eastAsia="仿宋_GB2312" w:cs="仿宋_GB2312"/>
      <w:b/>
      <w:bCs/>
      <w:sz w:val="32"/>
      <w:szCs w:val="32"/>
    </w:rPr>
  </w:style>
  <w:style w:type="paragraph" w:customStyle="1" w:styleId="170">
    <w:name w:val="样式 标题 3Chapter X.X.X. + 段后: 0.5 行"/>
    <w:basedOn w:val="5"/>
    <w:qFormat/>
    <w:uiPriority w:val="99"/>
    <w:pPr>
      <w:keepLines w:val="0"/>
      <w:autoSpaceDE/>
      <w:autoSpaceDN/>
      <w:adjustRightInd/>
      <w:spacing w:before="120" w:afterLines="50"/>
    </w:pPr>
    <w:rPr>
      <w:u w:val="none"/>
    </w:rPr>
  </w:style>
  <w:style w:type="paragraph" w:customStyle="1" w:styleId="171">
    <w:name w:val="样式 标题 2Chapter X.X. Statementh22Header 2l2Level 2 Headhea..."/>
    <w:basedOn w:val="4"/>
    <w:qFormat/>
    <w:uiPriority w:val="99"/>
    <w:pPr>
      <w:keepLines w:val="0"/>
      <w:spacing w:before="120" w:afterLines="50" w:line="240" w:lineRule="auto"/>
      <w:jc w:val="left"/>
    </w:pPr>
    <w:rPr>
      <w:rFonts w:ascii="宋体" w:hAnsi="Times New Roman" w:eastAsia="宋体" w:cs="宋体"/>
      <w:kern w:val="0"/>
      <w:sz w:val="24"/>
      <w:szCs w:val="24"/>
    </w:rPr>
  </w:style>
  <w:style w:type="paragraph" w:customStyle="1" w:styleId="172">
    <w:name w:val="ÕýÎÄ"/>
    <w:qFormat/>
    <w:uiPriority w:val="99"/>
    <w:pPr>
      <w:widowControl w:val="0"/>
      <w:overflowPunct w:val="0"/>
      <w:autoSpaceDE w:val="0"/>
      <w:autoSpaceDN w:val="0"/>
      <w:adjustRightInd w:val="0"/>
      <w:spacing w:after="160" w:line="351" w:lineRule="atLeast"/>
      <w:ind w:firstLine="419"/>
      <w:jc w:val="both"/>
      <w:textAlignment w:val="baseline"/>
    </w:pPr>
    <w:rPr>
      <w:rFonts w:ascii="Times New Roman" w:hAnsi="Times New Roman" w:eastAsia="宋体" w:cs="Times New Roman"/>
      <w:color w:val="000000"/>
      <w:sz w:val="21"/>
      <w:szCs w:val="21"/>
      <w:lang w:val="en-US" w:eastAsia="zh-CN" w:bidi="ar-SA"/>
    </w:rPr>
  </w:style>
  <w:style w:type="paragraph" w:customStyle="1" w:styleId="173">
    <w:name w:val="标准标题3"/>
    <w:basedOn w:val="5"/>
    <w:qFormat/>
    <w:uiPriority w:val="99"/>
    <w:pPr>
      <w:tabs>
        <w:tab w:val="left" w:pos="1050"/>
      </w:tabs>
      <w:autoSpaceDE/>
      <w:autoSpaceDN/>
      <w:adjustRightInd/>
      <w:spacing w:before="260" w:after="260"/>
      <w:ind w:left="-258" w:leftChars="-258"/>
      <w:jc w:val="both"/>
    </w:pPr>
    <w:rPr>
      <w:rFonts w:ascii="Times New Roman" w:eastAsia="仿宋_GB2312" w:cs="Times New Roman"/>
      <w:kern w:val="2"/>
      <w:sz w:val="28"/>
      <w:szCs w:val="28"/>
      <w:u w:val="none"/>
    </w:rPr>
  </w:style>
  <w:style w:type="paragraph" w:customStyle="1" w:styleId="174">
    <w:name w:val="样式 样式 正文文本缩进 + 仿宋_GB2312 小四 首行缩进:  0 厘米 行距: 1.5 倍行距 + (中文) 仿宋_GB... Char Char"/>
    <w:basedOn w:val="133"/>
    <w:qFormat/>
    <w:uiPriority w:val="99"/>
    <w:pPr>
      <w:ind w:firstLine="480" w:firstLineChars="200"/>
    </w:pPr>
  </w:style>
  <w:style w:type="paragraph" w:customStyle="1" w:styleId="175">
    <w:name w:val="样式 标题 3Chapter X.X.X. + 段后: 0.5 行1"/>
    <w:basedOn w:val="5"/>
    <w:next w:val="1"/>
    <w:qFormat/>
    <w:uiPriority w:val="99"/>
    <w:pPr>
      <w:keepLines w:val="0"/>
      <w:autoSpaceDE/>
      <w:autoSpaceDN/>
      <w:adjustRightInd/>
      <w:spacing w:before="120" w:afterLines="50"/>
    </w:pPr>
    <w:rPr>
      <w:u w:val="none"/>
    </w:rPr>
  </w:style>
  <w:style w:type="paragraph" w:customStyle="1" w:styleId="176">
    <w:name w:val="最新标题1"/>
    <w:basedOn w:val="177"/>
    <w:next w:val="178"/>
    <w:qFormat/>
    <w:uiPriority w:val="99"/>
    <w:pPr>
      <w:tabs>
        <w:tab w:val="left" w:pos="1140"/>
      </w:tabs>
      <w:spacing w:after="120"/>
    </w:pPr>
  </w:style>
  <w:style w:type="paragraph" w:customStyle="1" w:styleId="177">
    <w:name w:val="样式 标题1"/>
    <w:basedOn w:val="165"/>
    <w:next w:val="178"/>
    <w:qFormat/>
    <w:uiPriority w:val="99"/>
    <w:pPr>
      <w:tabs>
        <w:tab w:val="left" w:pos="1140"/>
      </w:tabs>
      <w:spacing w:after="50"/>
      <w:ind w:left="1140" w:hanging="720"/>
    </w:pPr>
    <w:rPr>
      <w:sz w:val="32"/>
      <w:szCs w:val="32"/>
    </w:rPr>
  </w:style>
  <w:style w:type="paragraph" w:customStyle="1" w:styleId="178">
    <w:name w:val="最新标题2"/>
    <w:basedOn w:val="179"/>
    <w:next w:val="166"/>
    <w:qFormat/>
    <w:uiPriority w:val="99"/>
    <w:pPr>
      <w:spacing w:after="120"/>
    </w:pPr>
  </w:style>
  <w:style w:type="paragraph" w:customStyle="1" w:styleId="179">
    <w:name w:val="样式 标题 2"/>
    <w:basedOn w:val="4"/>
    <w:next w:val="166"/>
    <w:qFormat/>
    <w:uiPriority w:val="99"/>
    <w:pPr>
      <w:keepLines w:val="0"/>
      <w:spacing w:before="120" w:afterLines="50" w:line="240" w:lineRule="auto"/>
      <w:ind w:left="380" w:hanging="380"/>
      <w:jc w:val="left"/>
    </w:pPr>
    <w:rPr>
      <w:rFonts w:ascii="宋体" w:hAnsi="Times New Roman" w:eastAsia="宋体" w:cs="宋体"/>
      <w:kern w:val="0"/>
      <w:sz w:val="28"/>
      <w:szCs w:val="28"/>
    </w:rPr>
  </w:style>
  <w:style w:type="paragraph" w:customStyle="1" w:styleId="180">
    <w:name w:val="样式 样式 标题 3Chapter X.X.X. + 段后: 0.5 行 + 段后: 0.5 行"/>
    <w:basedOn w:val="170"/>
    <w:qFormat/>
    <w:uiPriority w:val="99"/>
  </w:style>
  <w:style w:type="paragraph" w:customStyle="1" w:styleId="181">
    <w:name w:val="样式 样式 样式 标题 3Chapter X.X.X. + 段后: 0.5 行 + 段后: 0.5 行 + 段后: 0.5 行"/>
    <w:basedOn w:val="180"/>
    <w:qFormat/>
    <w:uiPriority w:val="99"/>
  </w:style>
  <w:style w:type="paragraph" w:customStyle="1" w:styleId="182">
    <w:name w:val="Char Char Char"/>
    <w:basedOn w:val="1"/>
    <w:qFormat/>
    <w:uiPriority w:val="99"/>
    <w:rPr>
      <w:rFonts w:ascii="Tahoma" w:hAnsi="Tahoma" w:cs="Tahoma"/>
      <w:sz w:val="24"/>
      <w:szCs w:val="24"/>
    </w:rPr>
  </w:style>
  <w:style w:type="paragraph" w:customStyle="1" w:styleId="183">
    <w:name w:val="IBM 正文"/>
    <w:basedOn w:val="1"/>
    <w:qFormat/>
    <w:uiPriority w:val="99"/>
    <w:pPr>
      <w:spacing w:line="360" w:lineRule="atLeast"/>
    </w:pPr>
    <w:rPr>
      <w:sz w:val="24"/>
      <w:szCs w:val="24"/>
    </w:rPr>
  </w:style>
  <w:style w:type="paragraph" w:customStyle="1" w:styleId="184">
    <w:name w:val="第1.3标题"/>
    <w:basedOn w:val="5"/>
    <w:next w:val="1"/>
    <w:qFormat/>
    <w:uiPriority w:val="99"/>
    <w:pPr>
      <w:keepNext w:val="0"/>
      <w:widowControl/>
      <w:spacing w:beforeLines="50" w:afterLines="50" w:line="360" w:lineRule="auto"/>
      <w:textAlignment w:val="baseline"/>
    </w:pPr>
    <w:rPr>
      <w:rFonts w:ascii="Times New Roman" w:cs="Times New Roman"/>
      <w:sz w:val="30"/>
      <w:szCs w:val="30"/>
      <w:u w:val="none"/>
    </w:rPr>
  </w:style>
  <w:style w:type="paragraph" w:customStyle="1" w:styleId="185">
    <w:name w:val="Paragraph1"/>
    <w:basedOn w:val="1"/>
    <w:qFormat/>
    <w:uiPriority w:val="99"/>
    <w:pPr>
      <w:spacing w:before="80" w:afterLines="50"/>
    </w:pPr>
    <w:rPr>
      <w:rFonts w:ascii="宋体" w:cs="宋体"/>
      <w:kern w:val="0"/>
    </w:rPr>
  </w:style>
  <w:style w:type="paragraph" w:customStyle="1" w:styleId="186">
    <w:name w:val="Tabletext"/>
    <w:basedOn w:val="1"/>
    <w:qFormat/>
    <w:uiPriority w:val="99"/>
    <w:pPr>
      <w:keepLines/>
      <w:spacing w:afterLines="50"/>
      <w:jc w:val="left"/>
    </w:pPr>
    <w:rPr>
      <w:rFonts w:ascii="宋体" w:cs="宋体"/>
      <w:kern w:val="0"/>
    </w:rPr>
  </w:style>
  <w:style w:type="paragraph" w:customStyle="1" w:styleId="187">
    <w:name w:val="Char"/>
    <w:basedOn w:val="1"/>
    <w:qFormat/>
    <w:uiPriority w:val="99"/>
  </w:style>
  <w:style w:type="paragraph" w:customStyle="1" w:styleId="188">
    <w:name w:val="Char Char7 Char"/>
    <w:basedOn w:val="1"/>
    <w:qFormat/>
    <w:uiPriority w:val="99"/>
    <w:pPr>
      <w:tabs>
        <w:tab w:val="left" w:pos="425"/>
      </w:tabs>
      <w:ind w:left="420" w:leftChars="200" w:firstLine="270" w:firstLineChars="150"/>
    </w:pPr>
  </w:style>
  <w:style w:type="paragraph" w:customStyle="1" w:styleId="189">
    <w:name w:val="f1"/>
    <w:basedOn w:val="1"/>
    <w:qFormat/>
    <w:uiPriority w:val="99"/>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190">
    <w:name w:val="段(正文）"/>
    <w:qFormat/>
    <w:uiPriority w:val="99"/>
    <w:pPr>
      <w:autoSpaceDE w:val="0"/>
      <w:autoSpaceDN w:val="0"/>
      <w:spacing w:after="160" w:line="278" w:lineRule="auto"/>
      <w:ind w:firstLine="420"/>
      <w:jc w:val="both"/>
    </w:pPr>
    <w:rPr>
      <w:rFonts w:ascii="宋体" w:hAnsi="Times New Roman" w:eastAsia="宋体" w:cs="宋体"/>
      <w:sz w:val="21"/>
      <w:szCs w:val="21"/>
      <w:lang w:val="en-US" w:eastAsia="zh-CN" w:bidi="ar-SA"/>
    </w:rPr>
  </w:style>
  <w:style w:type="paragraph" w:customStyle="1" w:styleId="191">
    <w:name w:val="此正文"/>
    <w:basedOn w:val="1"/>
    <w:qFormat/>
    <w:uiPriority w:val="99"/>
    <w:pPr>
      <w:spacing w:line="360" w:lineRule="auto"/>
      <w:ind w:firstLine="200" w:firstLineChars="200"/>
    </w:pPr>
    <w:rPr>
      <w:sz w:val="24"/>
      <w:szCs w:val="24"/>
    </w:rPr>
  </w:style>
  <w:style w:type="paragraph" w:customStyle="1" w:styleId="192">
    <w:name w:val="InfoBlue"/>
    <w:basedOn w:val="1"/>
    <w:next w:val="15"/>
    <w:qFormat/>
    <w:uiPriority w:val="99"/>
    <w:pPr>
      <w:spacing w:afterLines="50"/>
      <w:ind w:left="720"/>
      <w:jc w:val="left"/>
    </w:pPr>
    <w:rPr>
      <w:rFonts w:ascii="宋体" w:cs="宋体"/>
      <w:i/>
      <w:iCs/>
      <w:color w:val="0000FF"/>
      <w:kern w:val="0"/>
    </w:rPr>
  </w:style>
  <w:style w:type="paragraph" w:customStyle="1" w:styleId="193">
    <w:name w:val="S4-B-L15"/>
    <w:basedOn w:val="1"/>
    <w:qFormat/>
    <w:uiPriority w:val="99"/>
    <w:pPr>
      <w:spacing w:line="360" w:lineRule="auto"/>
    </w:pPr>
    <w:rPr>
      <w:b/>
      <w:bCs/>
      <w:sz w:val="24"/>
      <w:szCs w:val="24"/>
    </w:rPr>
  </w:style>
  <w:style w:type="paragraph" w:customStyle="1" w:styleId="194">
    <w:name w:val="表格(五号)"/>
    <w:basedOn w:val="1"/>
    <w:qFormat/>
    <w:uiPriority w:val="99"/>
    <w:pPr>
      <w:adjustRightInd w:val="0"/>
      <w:snapToGrid w:val="0"/>
      <w:spacing w:line="300" w:lineRule="auto"/>
      <w:jc w:val="center"/>
    </w:pPr>
    <w:rPr>
      <w:kern w:val="0"/>
      <w:sz w:val="18"/>
      <w:szCs w:val="18"/>
    </w:rPr>
  </w:style>
  <w:style w:type="paragraph" w:customStyle="1" w:styleId="195">
    <w:name w:val="Table - Col. Head"/>
    <w:basedOn w:val="1"/>
    <w:qFormat/>
    <w:uiPriority w:val="99"/>
    <w:pPr>
      <w:keepNext/>
      <w:widowControl/>
      <w:spacing w:before="60" w:afterLines="50"/>
      <w:jc w:val="left"/>
    </w:pPr>
    <w:rPr>
      <w:rFonts w:ascii="Arial" w:hAnsi="Arial" w:cs="Arial"/>
      <w:b/>
      <w:bCs/>
      <w:kern w:val="0"/>
      <w:sz w:val="18"/>
      <w:szCs w:val="18"/>
      <w:lang w:eastAsia="en-US"/>
    </w:rPr>
  </w:style>
  <w:style w:type="paragraph" w:customStyle="1" w:styleId="196">
    <w:name w:val="表内文字"/>
    <w:basedOn w:val="1"/>
    <w:qFormat/>
    <w:uiPriority w:val="99"/>
    <w:pPr>
      <w:tabs>
        <w:tab w:val="left" w:pos="1418"/>
      </w:tabs>
      <w:spacing w:line="360" w:lineRule="auto"/>
      <w:jc w:val="center"/>
    </w:pPr>
    <w:rPr>
      <w:rFonts w:ascii="仿宋_GB2312" w:eastAsia="仿宋_GB2312" w:cs="仿宋_GB2312"/>
      <w:spacing w:val="-20"/>
      <w:kern w:val="0"/>
      <w:sz w:val="24"/>
      <w:szCs w:val="24"/>
    </w:rPr>
  </w:style>
  <w:style w:type="paragraph" w:customStyle="1" w:styleId="197">
    <w:name w:val="Char Char Char Char Char Char Char Char Char Char Char Char Char Char Char Char Char Char Char"/>
    <w:basedOn w:val="1"/>
    <w:qFormat/>
    <w:uiPriority w:val="99"/>
    <w:pPr>
      <w:widowControl/>
      <w:spacing w:before="100" w:beforeAutospacing="1" w:after="100" w:afterAutospacing="1" w:line="330" w:lineRule="atLeast"/>
      <w:ind w:left="360"/>
      <w:jc w:val="left"/>
    </w:pPr>
    <w:rPr>
      <w:rFonts w:ascii="??" w:hAnsi="??" w:cs="??"/>
      <w:color w:val="51585D"/>
      <w:kern w:val="0"/>
    </w:rPr>
  </w:style>
  <w:style w:type="paragraph" w:customStyle="1" w:styleId="198">
    <w:name w:val="Char1"/>
    <w:basedOn w:val="1"/>
    <w:qFormat/>
    <w:uiPriority w:val="99"/>
    <w:pPr>
      <w:tabs>
        <w:tab w:val="left" w:pos="432"/>
      </w:tabs>
      <w:spacing w:beforeLines="50" w:afterLines="50"/>
      <w:ind w:left="432" w:hanging="432"/>
    </w:pPr>
    <w:rPr>
      <w:sz w:val="24"/>
      <w:szCs w:val="24"/>
    </w:rPr>
  </w:style>
  <w:style w:type="paragraph" w:customStyle="1" w:styleId="199">
    <w:name w:val="样式 标题 2Chapter X.X. Statementh22Header 2l2Level 2 Headhea...1"/>
    <w:basedOn w:val="5"/>
    <w:qFormat/>
    <w:uiPriority w:val="99"/>
    <w:pPr>
      <w:keepLines w:val="0"/>
      <w:autoSpaceDE/>
      <w:autoSpaceDN/>
      <w:adjustRightInd/>
      <w:spacing w:before="120" w:afterLines="50"/>
    </w:pPr>
    <w:rPr>
      <w:u w:val="none"/>
    </w:rPr>
  </w:style>
  <w:style w:type="paragraph" w:customStyle="1" w:styleId="200">
    <w:name w:val="S4-L15"/>
    <w:basedOn w:val="1"/>
    <w:qFormat/>
    <w:uiPriority w:val="99"/>
    <w:pPr>
      <w:spacing w:after="120" w:line="360" w:lineRule="auto"/>
      <w:ind w:left="720" w:firstLine="392"/>
    </w:pPr>
    <w:rPr>
      <w:lang w:val="fr-FR"/>
    </w:rPr>
  </w:style>
  <w:style w:type="paragraph" w:customStyle="1" w:styleId="201">
    <w:name w:val="标准有序列表（L1）"/>
    <w:basedOn w:val="7"/>
    <w:qFormat/>
    <w:uiPriority w:val="99"/>
    <w:pPr>
      <w:tabs>
        <w:tab w:val="left" w:pos="0"/>
      </w:tabs>
      <w:spacing w:line="360" w:lineRule="auto"/>
      <w:ind w:firstLine="0"/>
    </w:pPr>
    <w:rPr>
      <w:rFonts w:ascii="黑体" w:eastAsia="黑体" w:cs="黑体"/>
      <w:color w:val="000000"/>
      <w:sz w:val="24"/>
      <w:szCs w:val="24"/>
    </w:rPr>
  </w:style>
  <w:style w:type="paragraph" w:customStyle="1" w:styleId="202">
    <w:name w:val="Char Char Char Char Char"/>
    <w:basedOn w:val="1"/>
    <w:qFormat/>
    <w:uiPriority w:val="99"/>
    <w:pPr>
      <w:widowControl/>
      <w:adjustRightInd w:val="0"/>
      <w:ind w:firstLine="200" w:firstLineChars="200"/>
      <w:jc w:val="left"/>
      <w:textAlignment w:val="baseline"/>
    </w:pPr>
  </w:style>
  <w:style w:type="paragraph" w:customStyle="1" w:styleId="203">
    <w:name w:val="标题1"/>
    <w:basedOn w:val="28"/>
    <w:qFormat/>
    <w:uiPriority w:val="99"/>
    <w:pPr>
      <w:spacing w:beforeLines="0" w:afterLines="0" w:line="360" w:lineRule="auto"/>
    </w:pPr>
    <w:rPr>
      <w:b/>
      <w:bCs/>
      <w:sz w:val="30"/>
      <w:szCs w:val="30"/>
    </w:rPr>
  </w:style>
  <w:style w:type="paragraph" w:customStyle="1" w:styleId="204">
    <w:name w:val="沈标题四"/>
    <w:basedOn w:val="6"/>
    <w:next w:val="1"/>
    <w:qFormat/>
    <w:uiPriority w:val="99"/>
    <w:pPr>
      <w:keepNext w:val="0"/>
      <w:keepLines w:val="0"/>
      <w:spacing w:line="377" w:lineRule="auto"/>
    </w:pPr>
    <w:rPr>
      <w:rFonts w:ascii="Arial Narrow" w:hAnsi="Arial Narrow" w:eastAsia="方正姚体" w:cs="Arial Narrow"/>
      <w:b w:val="0"/>
      <w:bCs w:val="0"/>
      <w:sz w:val="24"/>
      <w:szCs w:val="24"/>
    </w:rPr>
  </w:style>
  <w:style w:type="paragraph" w:customStyle="1" w:styleId="205">
    <w:name w:val="样式 标题 1 + 五号"/>
    <w:basedOn w:val="3"/>
    <w:qFormat/>
    <w:uiPriority w:val="99"/>
    <w:pPr>
      <w:spacing w:before="0" w:after="0" w:line="240" w:lineRule="auto"/>
      <w:jc w:val="center"/>
    </w:pPr>
    <w:rPr>
      <w:sz w:val="32"/>
      <w:szCs w:val="32"/>
    </w:rPr>
  </w:style>
  <w:style w:type="paragraph" w:customStyle="1" w:styleId="206">
    <w:name w:val="表格11"/>
    <w:basedOn w:val="1"/>
    <w:qFormat/>
    <w:uiPriority w:val="99"/>
    <w:pPr>
      <w:widowControl/>
      <w:jc w:val="center"/>
    </w:pPr>
    <w:rPr>
      <w:rFonts w:ascii="宋体" w:hAnsi="宋体" w:cs="宋体"/>
      <w:b/>
      <w:bCs/>
      <w:kern w:val="0"/>
    </w:rPr>
  </w:style>
  <w:style w:type="paragraph" w:customStyle="1" w:styleId="207">
    <w:name w:val="huide00"/>
    <w:basedOn w:val="1"/>
    <w:qFormat/>
    <w:uiPriority w:val="99"/>
    <w:pPr>
      <w:widowControl/>
      <w:spacing w:before="100" w:beforeAutospacing="1" w:after="100" w:afterAutospacing="1"/>
      <w:jc w:val="left"/>
    </w:pPr>
    <w:rPr>
      <w:rFonts w:ascii="Arial" w:hAnsi="Arial" w:cs="Arial"/>
      <w:color w:val="666666"/>
      <w:kern w:val="0"/>
      <w:sz w:val="18"/>
      <w:szCs w:val="18"/>
    </w:rPr>
  </w:style>
  <w:style w:type="paragraph" w:customStyle="1" w:styleId="208">
    <w:name w:val="样式 三号 加粗 段后: 0.5 行"/>
    <w:basedOn w:val="1"/>
    <w:qFormat/>
    <w:uiPriority w:val="99"/>
    <w:pPr>
      <w:spacing w:afterLines="50"/>
      <w:jc w:val="left"/>
    </w:pPr>
    <w:rPr>
      <w:rFonts w:ascii="宋体" w:cs="宋体"/>
      <w:b/>
      <w:bCs/>
      <w:kern w:val="0"/>
      <w:sz w:val="32"/>
      <w:szCs w:val="32"/>
    </w:rPr>
  </w:style>
  <w:style w:type="paragraph" w:customStyle="1" w:styleId="209">
    <w:name w:val="Char21"/>
    <w:basedOn w:val="1"/>
    <w:qFormat/>
    <w:uiPriority w:val="99"/>
  </w:style>
  <w:style w:type="paragraph" w:customStyle="1" w:styleId="210">
    <w:name w:val="标题 3Chapter X.X.X. + 段后: 0.5 行 + 段后: 0.5 行 + 段后: 0.5 行1"/>
    <w:basedOn w:val="180"/>
    <w:qFormat/>
    <w:uiPriority w:val="99"/>
  </w:style>
  <w:style w:type="paragraph" w:customStyle="1" w:styleId="211">
    <w:name w:val="S4-I-L15-U"/>
    <w:basedOn w:val="1"/>
    <w:qFormat/>
    <w:uiPriority w:val="99"/>
    <w:pPr>
      <w:spacing w:line="360" w:lineRule="auto"/>
    </w:pPr>
    <w:rPr>
      <w:b/>
      <w:bCs/>
      <w:i/>
      <w:iCs/>
      <w:sz w:val="24"/>
      <w:szCs w:val="24"/>
      <w:u w:val="single"/>
    </w:rPr>
  </w:style>
  <w:style w:type="paragraph" w:customStyle="1" w:styleId="212">
    <w:name w:val="Paragraph3"/>
    <w:basedOn w:val="1"/>
    <w:qFormat/>
    <w:uiPriority w:val="99"/>
    <w:pPr>
      <w:spacing w:before="80" w:afterLines="50"/>
      <w:ind w:left="1530"/>
    </w:pPr>
    <w:rPr>
      <w:rFonts w:ascii="宋体" w:cs="宋体"/>
      <w:kern w:val="0"/>
    </w:rPr>
  </w:style>
  <w:style w:type="paragraph" w:customStyle="1" w:styleId="213">
    <w:name w:val="样式 样式 正文文本缩进 + 仿宋_GB2312 小四 首行缩进:  0 厘米 行距: 1.5 倍行距 + (中文) 仿宋_GB..."/>
    <w:basedOn w:val="133"/>
    <w:qFormat/>
    <w:uiPriority w:val="99"/>
    <w:pPr>
      <w:ind w:firstLine="480" w:firstLineChars="200"/>
    </w:pPr>
  </w:style>
  <w:style w:type="paragraph" w:customStyle="1" w:styleId="214">
    <w:name w:val="样式 标题 1 + 五号1 Char Char Char Char Char Char Char Char Char Char Char Char Char Char Char Char Char"/>
    <w:basedOn w:val="3"/>
    <w:qFormat/>
    <w:uiPriority w:val="99"/>
    <w:pPr>
      <w:spacing w:before="0" w:after="0" w:line="480" w:lineRule="auto"/>
    </w:pPr>
    <w:rPr>
      <w:sz w:val="21"/>
      <w:szCs w:val="21"/>
    </w:rPr>
  </w:style>
  <w:style w:type="paragraph" w:customStyle="1" w:styleId="215">
    <w:name w:val="纯文本1"/>
    <w:basedOn w:val="1"/>
    <w:qFormat/>
    <w:uiPriority w:val="99"/>
    <w:pPr>
      <w:adjustRightInd w:val="0"/>
    </w:pPr>
    <w:rPr>
      <w:rFonts w:ascii="宋体" w:hAnsi="Courier New" w:eastAsia="楷体_GB2312" w:cs="宋体"/>
      <w:sz w:val="28"/>
      <w:szCs w:val="28"/>
    </w:rPr>
  </w:style>
  <w:style w:type="paragraph" w:customStyle="1" w:styleId="216">
    <w:name w:val="Table - Text"/>
    <w:basedOn w:val="1"/>
    <w:qFormat/>
    <w:uiPriority w:val="99"/>
    <w:pPr>
      <w:widowControl/>
      <w:spacing w:before="60" w:afterLines="50"/>
      <w:jc w:val="left"/>
    </w:pPr>
    <w:rPr>
      <w:kern w:val="0"/>
      <w:lang w:eastAsia="en-US"/>
    </w:rPr>
  </w:style>
  <w:style w:type="paragraph" w:customStyle="1" w:styleId="217">
    <w:name w:val="样式 标题 3(A-3)sect1.2.3h3H3level_3PIM 3Level 3 HeadHeading..."/>
    <w:basedOn w:val="5"/>
    <w:qFormat/>
    <w:uiPriority w:val="99"/>
    <w:pPr>
      <w:autoSpaceDE/>
      <w:autoSpaceDN/>
      <w:adjustRightInd/>
      <w:spacing w:before="260" w:after="260" w:line="416" w:lineRule="auto"/>
      <w:jc w:val="both"/>
    </w:pPr>
    <w:rPr>
      <w:rFonts w:ascii="Arial" w:hAnsi="Arial" w:cs="Arial"/>
      <w:kern w:val="2"/>
      <w:sz w:val="30"/>
      <w:szCs w:val="30"/>
      <w:u w:val="none"/>
    </w:rPr>
  </w:style>
  <w:style w:type="paragraph" w:customStyle="1" w:styleId="218">
    <w:name w:val="表格正文"/>
    <w:basedOn w:val="1"/>
    <w:qFormat/>
    <w:uiPriority w:val="99"/>
    <w:pPr>
      <w:adjustRightInd w:val="0"/>
      <w:snapToGrid w:val="0"/>
      <w:spacing w:before="60" w:after="60"/>
      <w:jc w:val="center"/>
      <w:textAlignment w:val="baseline"/>
    </w:pPr>
    <w:rPr>
      <w:kern w:val="0"/>
      <w:sz w:val="24"/>
      <w:szCs w:val="24"/>
    </w:rPr>
  </w:style>
  <w:style w:type="paragraph" w:customStyle="1" w:styleId="219">
    <w:name w:val="Char Char Char Char Char Char Char Char Char"/>
    <w:basedOn w:val="1"/>
    <w:qFormat/>
    <w:uiPriority w:val="99"/>
    <w:rPr>
      <w:rFonts w:ascii="Tahoma" w:hAnsi="Tahoma" w:eastAsia="仿宋_GB2312" w:cs="Tahoma"/>
      <w:sz w:val="24"/>
      <w:szCs w:val="24"/>
    </w:rPr>
  </w:style>
  <w:style w:type="paragraph" w:customStyle="1" w:styleId="220">
    <w:name w:val="列出段落1"/>
    <w:basedOn w:val="1"/>
    <w:qFormat/>
    <w:uiPriority w:val="99"/>
    <w:pPr>
      <w:ind w:firstLine="420" w:firstLineChars="200"/>
    </w:pPr>
    <w:rPr>
      <w:rFonts w:ascii="Calibri" w:hAnsi="Calibri" w:cs="Calibri"/>
    </w:rPr>
  </w:style>
  <w:style w:type="paragraph" w:customStyle="1" w:styleId="221">
    <w:name w:val="标准标题1"/>
    <w:basedOn w:val="3"/>
    <w:qFormat/>
    <w:uiPriority w:val="99"/>
    <w:pPr>
      <w:pageBreakBefore/>
      <w:tabs>
        <w:tab w:val="left" w:pos="1080"/>
      </w:tabs>
      <w:ind w:left="425" w:hanging="425"/>
    </w:pPr>
    <w:rPr>
      <w:rFonts w:eastAsia="仿宋_GB2312"/>
      <w:sz w:val="32"/>
      <w:szCs w:val="32"/>
    </w:rPr>
  </w:style>
  <w:style w:type="paragraph" w:customStyle="1" w:styleId="222">
    <w:name w:val="Char Char Char Char"/>
    <w:basedOn w:val="1"/>
    <w:qFormat/>
    <w:uiPriority w:val="99"/>
  </w:style>
  <w:style w:type="paragraph" w:customStyle="1" w:styleId="223">
    <w:name w:val="样式7"/>
    <w:basedOn w:val="1"/>
    <w:qFormat/>
    <w:uiPriority w:val="99"/>
    <w:pPr>
      <w:adjustRightInd w:val="0"/>
      <w:spacing w:beforeLines="50" w:afterLines="50" w:line="360" w:lineRule="auto"/>
      <w:ind w:firstLine="669"/>
      <w:textAlignment w:val="baseline"/>
    </w:pPr>
    <w:rPr>
      <w:rFonts w:ascii="宋体" w:hAnsi="宋体" w:cs="宋体"/>
      <w:kern w:val="0"/>
      <w:sz w:val="28"/>
      <w:szCs w:val="28"/>
    </w:rPr>
  </w:style>
  <w:style w:type="paragraph" w:customStyle="1" w:styleId="224">
    <w:name w:val="Char Char Char Char1 Char Char1"/>
    <w:basedOn w:val="1"/>
    <w:qFormat/>
    <w:uiPriority w:val="99"/>
    <w:pPr>
      <w:widowControl/>
      <w:spacing w:line="240" w:lineRule="exact"/>
      <w:jc w:val="left"/>
    </w:pPr>
    <w:rPr>
      <w:rFonts w:ascii="Verdana" w:hAnsi="Verdana" w:cs="Verdana"/>
      <w:kern w:val="0"/>
      <w:sz w:val="20"/>
      <w:szCs w:val="20"/>
      <w:lang w:eastAsia="en-US"/>
    </w:rPr>
  </w:style>
  <w:style w:type="paragraph" w:customStyle="1" w:styleId="225">
    <w:name w:val="Bullet1"/>
    <w:basedOn w:val="1"/>
    <w:qFormat/>
    <w:uiPriority w:val="99"/>
    <w:pPr>
      <w:spacing w:afterLines="50"/>
      <w:ind w:left="720" w:hanging="432"/>
      <w:jc w:val="left"/>
    </w:pPr>
    <w:rPr>
      <w:rFonts w:ascii="宋体" w:cs="宋体"/>
      <w:kern w:val="0"/>
    </w:rPr>
  </w:style>
  <w:style w:type="paragraph" w:customStyle="1" w:styleId="226">
    <w:name w:val="列出段落11"/>
    <w:basedOn w:val="1"/>
    <w:qFormat/>
    <w:uiPriority w:val="99"/>
    <w:pPr>
      <w:spacing w:line="360" w:lineRule="auto"/>
      <w:ind w:firstLine="420" w:firstLineChars="200"/>
      <w:jc w:val="left"/>
    </w:pPr>
    <w:rPr>
      <w:rFonts w:ascii="Calibri" w:hAnsi="Calibri" w:cs="Calibri"/>
      <w:sz w:val="24"/>
      <w:szCs w:val="24"/>
    </w:rPr>
  </w:style>
  <w:style w:type="paragraph" w:customStyle="1" w:styleId="227">
    <w:name w:val="样式6"/>
    <w:basedOn w:val="1"/>
    <w:qFormat/>
    <w:uiPriority w:val="99"/>
    <w:pPr>
      <w:adjustRightInd w:val="0"/>
      <w:spacing w:beforeLines="50" w:afterLines="50"/>
      <w:ind w:firstLine="669"/>
      <w:textAlignment w:val="baseline"/>
    </w:pPr>
    <w:rPr>
      <w:rFonts w:ascii="宋体" w:hAnsi="宋体" w:cs="宋体"/>
      <w:kern w:val="0"/>
      <w:sz w:val="28"/>
      <w:szCs w:val="28"/>
    </w:rPr>
  </w:style>
  <w:style w:type="paragraph" w:customStyle="1" w:styleId="228">
    <w:name w:val="Proposals body"/>
    <w:basedOn w:val="1"/>
    <w:next w:val="1"/>
    <w:qFormat/>
    <w:uiPriority w:val="99"/>
    <w:pPr>
      <w:widowControl/>
      <w:spacing w:line="360" w:lineRule="auto"/>
      <w:jc w:val="left"/>
    </w:pPr>
    <w:rPr>
      <w:rFonts w:ascii="宋体" w:cs="宋体"/>
      <w:color w:val="000000"/>
      <w:kern w:val="0"/>
      <w:sz w:val="24"/>
      <w:szCs w:val="24"/>
    </w:rPr>
  </w:style>
  <w:style w:type="paragraph" w:customStyle="1" w:styleId="229">
    <w:name w:val="二级项目符号"/>
    <w:basedOn w:val="1"/>
    <w:qFormat/>
    <w:uiPriority w:val="99"/>
    <w:pPr>
      <w:widowControl/>
      <w:tabs>
        <w:tab w:val="left" w:pos="964"/>
      </w:tabs>
      <w:spacing w:line="360" w:lineRule="auto"/>
      <w:ind w:left="964" w:hanging="482"/>
    </w:pPr>
    <w:rPr>
      <w:kern w:val="0"/>
      <w:sz w:val="24"/>
      <w:szCs w:val="24"/>
    </w:rPr>
  </w:style>
  <w:style w:type="paragraph" w:customStyle="1" w:styleId="230">
    <w:name w:val="列表内容"/>
    <w:basedOn w:val="1"/>
    <w:next w:val="1"/>
    <w:qFormat/>
    <w:uiPriority w:val="99"/>
    <w:pPr>
      <w:widowControl/>
      <w:tabs>
        <w:tab w:val="left" w:pos="840"/>
      </w:tabs>
      <w:ind w:left="840" w:hanging="420"/>
      <w:jc w:val="left"/>
    </w:pPr>
    <w:rPr>
      <w:kern w:val="0"/>
      <w:sz w:val="18"/>
      <w:szCs w:val="18"/>
    </w:rPr>
  </w:style>
  <w:style w:type="paragraph" w:customStyle="1" w:styleId="231">
    <w:name w:val="P2"/>
    <w:basedOn w:val="1"/>
    <w:qFormat/>
    <w:uiPriority w:val="99"/>
    <w:pPr>
      <w:widowControl/>
      <w:spacing w:before="240" w:line="240" w:lineRule="atLeast"/>
      <w:ind w:left="578"/>
      <w:jc w:val="left"/>
    </w:pPr>
    <w:rPr>
      <w:b/>
      <w:bCs/>
      <w:kern w:val="0"/>
      <w:lang w:val="en-AU" w:eastAsia="en-US"/>
    </w:rPr>
  </w:style>
  <w:style w:type="paragraph" w:customStyle="1" w:styleId="232">
    <w:name w:val="样式 标题 3Chapter X.X.X"/>
    <w:basedOn w:val="210"/>
    <w:qFormat/>
    <w:uiPriority w:val="99"/>
  </w:style>
  <w:style w:type="paragraph" w:customStyle="1" w:styleId="233">
    <w:name w:val="样式 左侧:  1 厘米 段后: 0.5 行"/>
    <w:basedOn w:val="1"/>
    <w:qFormat/>
    <w:uiPriority w:val="99"/>
    <w:pPr>
      <w:spacing w:afterLines="50"/>
      <w:ind w:firstLine="425"/>
      <w:jc w:val="left"/>
    </w:pPr>
    <w:rPr>
      <w:rFonts w:ascii="宋体" w:cs="宋体"/>
      <w:kern w:val="0"/>
    </w:rPr>
  </w:style>
  <w:style w:type="paragraph" w:customStyle="1" w:styleId="234">
    <w:name w:val="Style-正文"/>
    <w:basedOn w:val="1"/>
    <w:qFormat/>
    <w:uiPriority w:val="99"/>
    <w:pPr>
      <w:spacing w:line="360" w:lineRule="auto"/>
      <w:ind w:firstLine="420"/>
    </w:pPr>
    <w:rPr>
      <w:rFonts w:ascii="宋体" w:hAnsi="宋体" w:cs="宋体"/>
      <w:sz w:val="24"/>
      <w:szCs w:val="24"/>
    </w:rPr>
  </w:style>
  <w:style w:type="paragraph" w:customStyle="1" w:styleId="235">
    <w:name w:val="Plain Text1"/>
    <w:basedOn w:val="1"/>
    <w:qFormat/>
    <w:uiPriority w:val="99"/>
    <w:pPr>
      <w:autoSpaceDE w:val="0"/>
      <w:autoSpaceDN w:val="0"/>
      <w:adjustRightInd w:val="0"/>
      <w:spacing w:line="360" w:lineRule="auto"/>
    </w:pPr>
    <w:rPr>
      <w:rFonts w:ascii="宋体" w:hAnsi="宋体" w:cs="宋体"/>
      <w:sz w:val="24"/>
      <w:szCs w:val="24"/>
    </w:rPr>
  </w:style>
  <w:style w:type="paragraph" w:customStyle="1" w:styleId="236">
    <w:name w:val="Table Description"/>
    <w:next w:val="1"/>
    <w:qFormat/>
    <w:uiPriority w:val="99"/>
    <w:pPr>
      <w:keepNext/>
      <w:snapToGrid w:val="0"/>
      <w:spacing w:before="160" w:after="80" w:line="278" w:lineRule="auto"/>
      <w:ind w:left="1701"/>
      <w:jc w:val="center"/>
    </w:pPr>
    <w:rPr>
      <w:rFonts w:ascii="Arial" w:hAnsi="Arial" w:eastAsia="黑体" w:cs="Arial"/>
      <w:sz w:val="18"/>
      <w:szCs w:val="18"/>
      <w:lang w:val="en-US" w:eastAsia="en-US" w:bidi="ar-SA"/>
    </w:rPr>
  </w:style>
  <w:style w:type="paragraph" w:customStyle="1" w:styleId="237">
    <w:name w:val="样式 模板描述"/>
    <w:basedOn w:val="1"/>
    <w:next w:val="162"/>
    <w:qFormat/>
    <w:uiPriority w:val="99"/>
    <w:pPr>
      <w:spacing w:afterLines="50"/>
      <w:jc w:val="left"/>
    </w:pPr>
    <w:rPr>
      <w:rFonts w:ascii="宋体" w:cs="宋体"/>
      <w:i/>
      <w:iCs/>
      <w:color w:val="0000FF"/>
      <w:kern w:val="0"/>
    </w:rPr>
  </w:style>
  <w:style w:type="paragraph" w:customStyle="1" w:styleId="238">
    <w:name w:val="Char2"/>
    <w:basedOn w:val="1"/>
    <w:qFormat/>
    <w:uiPriority w:val="99"/>
    <w:pPr>
      <w:tabs>
        <w:tab w:val="left" w:pos="432"/>
      </w:tabs>
      <w:spacing w:beforeLines="50" w:afterLines="50"/>
      <w:ind w:left="432" w:hanging="432"/>
    </w:pPr>
    <w:rPr>
      <w:sz w:val="24"/>
      <w:szCs w:val="24"/>
    </w:rPr>
  </w:style>
  <w:style w:type="paragraph" w:customStyle="1" w:styleId="239">
    <w:name w:val="Bullet2"/>
    <w:basedOn w:val="1"/>
    <w:qFormat/>
    <w:uiPriority w:val="99"/>
    <w:pPr>
      <w:spacing w:afterLines="50"/>
      <w:ind w:left="1440" w:hanging="360"/>
      <w:jc w:val="left"/>
    </w:pPr>
    <w:rPr>
      <w:rFonts w:ascii="宋体" w:cs="宋体"/>
      <w:color w:val="000080"/>
      <w:kern w:val="0"/>
    </w:rPr>
  </w:style>
  <w:style w:type="paragraph" w:customStyle="1" w:styleId="240">
    <w:name w:val="S4-I-U-L15-No-dot"/>
    <w:basedOn w:val="1"/>
    <w:qFormat/>
    <w:uiPriority w:val="99"/>
    <w:pPr>
      <w:tabs>
        <w:tab w:val="left" w:pos="1112"/>
      </w:tabs>
      <w:spacing w:after="120" w:line="360" w:lineRule="auto"/>
      <w:ind w:left="1112" w:hanging="420"/>
    </w:pPr>
    <w:rPr>
      <w:i/>
      <w:iCs/>
      <w:sz w:val="24"/>
      <w:szCs w:val="24"/>
      <w:u w:val="single"/>
    </w:rPr>
  </w:style>
  <w:style w:type="paragraph" w:customStyle="1" w:styleId="241">
    <w:name w:val="Item List"/>
    <w:qFormat/>
    <w:uiPriority w:val="99"/>
    <w:pPr>
      <w:tabs>
        <w:tab w:val="left" w:pos="2126"/>
      </w:tabs>
      <w:spacing w:after="160" w:line="300" w:lineRule="auto"/>
      <w:ind w:left="2126" w:hanging="425"/>
      <w:jc w:val="both"/>
    </w:pPr>
    <w:rPr>
      <w:rFonts w:ascii="Arial" w:hAnsi="Arial" w:eastAsia="宋体" w:cs="Arial"/>
      <w:sz w:val="21"/>
      <w:szCs w:val="21"/>
      <w:lang w:val="en-US" w:eastAsia="en-US" w:bidi="ar-SA"/>
    </w:rPr>
  </w:style>
  <w:style w:type="paragraph" w:customStyle="1" w:styleId="242">
    <w:name w:val="样式 样式 标题 4 + 段后: 0.5 行1"/>
    <w:basedOn w:val="159"/>
    <w:next w:val="31"/>
    <w:qFormat/>
    <w:uiPriority w:val="99"/>
    <w:pPr>
      <w:spacing w:after="120"/>
    </w:pPr>
  </w:style>
  <w:style w:type="paragraph" w:customStyle="1" w:styleId="243">
    <w:name w:val="文档正文"/>
    <w:basedOn w:val="1"/>
    <w:qFormat/>
    <w:uiPriority w:val="99"/>
    <w:pPr>
      <w:adjustRightInd w:val="0"/>
      <w:spacing w:line="440" w:lineRule="exact"/>
      <w:ind w:firstLine="567"/>
      <w:textAlignment w:val="baseline"/>
    </w:pPr>
    <w:rPr>
      <w:rFonts w:ascii="Arial Narrow" w:hAnsi="Arial Narrow" w:cs="Arial Narrow"/>
      <w:kern w:val="0"/>
      <w:sz w:val="24"/>
      <w:szCs w:val="24"/>
    </w:rPr>
  </w:style>
  <w:style w:type="paragraph" w:customStyle="1" w:styleId="244">
    <w:name w:val="文本框内文字"/>
    <w:basedOn w:val="1"/>
    <w:qFormat/>
    <w:uiPriority w:val="99"/>
    <w:pPr>
      <w:spacing w:line="240" w:lineRule="atLeast"/>
    </w:pPr>
    <w:rPr>
      <w:rFonts w:eastAsia="仿宋_GB2312"/>
      <w:sz w:val="22"/>
      <w:szCs w:val="22"/>
    </w:rPr>
  </w:style>
  <w:style w:type="paragraph" w:customStyle="1" w:styleId="245">
    <w:name w:val="样式 样式 标题 4 + 段后: 0.5 行 + 段后: 0.5 行"/>
    <w:basedOn w:val="159"/>
    <w:qFormat/>
    <w:uiPriority w:val="99"/>
  </w:style>
  <w:style w:type="paragraph" w:customStyle="1" w:styleId="246">
    <w:name w:val="Figure Description"/>
    <w:next w:val="1"/>
    <w:qFormat/>
    <w:uiPriority w:val="99"/>
    <w:pPr>
      <w:snapToGrid w:val="0"/>
      <w:spacing w:before="80" w:after="320" w:line="278" w:lineRule="auto"/>
      <w:ind w:left="1701"/>
      <w:jc w:val="center"/>
    </w:pPr>
    <w:rPr>
      <w:rFonts w:ascii="Arial" w:hAnsi="Arial" w:eastAsia="黑体" w:cs="Arial"/>
      <w:sz w:val="18"/>
      <w:szCs w:val="18"/>
      <w:lang w:val="en-US" w:eastAsia="en-US" w:bidi="ar-SA"/>
    </w:rPr>
  </w:style>
  <w:style w:type="paragraph" w:customStyle="1" w:styleId="247">
    <w:name w:val="paragraph1"/>
    <w:basedOn w:val="1"/>
    <w:qFormat/>
    <w:uiPriority w:val="99"/>
    <w:pPr>
      <w:spacing w:afterLines="30" w:line="360" w:lineRule="auto"/>
      <w:ind w:firstLine="420" w:firstLineChars="200"/>
    </w:pPr>
    <w:rPr>
      <w:rFonts w:eastAsia="楷体_GB2312"/>
      <w:sz w:val="24"/>
      <w:szCs w:val="24"/>
    </w:rPr>
  </w:style>
  <w:style w:type="paragraph" w:customStyle="1" w:styleId="248">
    <w:name w:val="S4-L15-No"/>
    <w:basedOn w:val="200"/>
    <w:qFormat/>
    <w:uiPriority w:val="99"/>
    <w:pPr>
      <w:tabs>
        <w:tab w:val="left" w:pos="720"/>
      </w:tabs>
      <w:ind w:hanging="720"/>
    </w:pPr>
  </w:style>
  <w:style w:type="paragraph" w:customStyle="1" w:styleId="249">
    <w:name w:val="广咨正文"/>
    <w:basedOn w:val="1"/>
    <w:qFormat/>
    <w:uiPriority w:val="99"/>
    <w:pPr>
      <w:snapToGrid w:val="0"/>
      <w:spacing w:line="360" w:lineRule="auto"/>
      <w:ind w:firstLine="480" w:firstLineChars="200"/>
    </w:pPr>
  </w:style>
  <w:style w:type="paragraph" w:customStyle="1" w:styleId="250">
    <w:name w:val="样式 样式3 + 宋体 五号 Char Char Char"/>
    <w:basedOn w:val="1"/>
    <w:qFormat/>
    <w:uiPriority w:val="99"/>
    <w:pPr>
      <w:keepNext/>
      <w:keepLines/>
      <w:tabs>
        <w:tab w:val="left" w:pos="1050"/>
      </w:tabs>
      <w:ind w:left="1050" w:hanging="450"/>
      <w:jc w:val="left"/>
      <w:outlineLvl w:val="7"/>
    </w:pPr>
    <w:rPr>
      <w:rFonts w:ascii="宋体" w:hAnsi="宋体" w:cs="宋体"/>
      <w:b/>
      <w:bCs/>
    </w:rPr>
  </w:style>
  <w:style w:type="paragraph" w:customStyle="1" w:styleId="251">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52">
    <w:name w:val="页面边线"/>
    <w:basedOn w:val="1"/>
    <w:qFormat/>
    <w:uiPriority w:val="99"/>
    <w:pPr>
      <w:adjustRightInd w:val="0"/>
      <w:spacing w:line="360" w:lineRule="atLeast"/>
      <w:textAlignment w:val="baseline"/>
    </w:pPr>
    <w:rPr>
      <w:rFonts w:ascii="Century" w:hAnsi="Century" w:cs="Century"/>
      <w:kern w:val="0"/>
      <w:lang w:eastAsia="ja-JP"/>
    </w:rPr>
  </w:style>
  <w:style w:type="paragraph" w:customStyle="1" w:styleId="253">
    <w:name w:val="正文2"/>
    <w:basedOn w:val="1"/>
    <w:qFormat/>
    <w:uiPriority w:val="99"/>
    <w:pPr>
      <w:spacing w:beforeLines="50" w:afterLines="50" w:line="360" w:lineRule="auto"/>
      <w:ind w:firstLine="480" w:firstLineChars="200"/>
    </w:pPr>
    <w:rPr>
      <w:rFonts w:ascii="仿宋_GB2312" w:cs="仿宋_GB2312"/>
      <w:sz w:val="24"/>
      <w:szCs w:val="24"/>
    </w:rPr>
  </w:style>
  <w:style w:type="paragraph" w:customStyle="1" w:styleId="254">
    <w:name w:val="列出段落2"/>
    <w:basedOn w:val="1"/>
    <w:qFormat/>
    <w:uiPriority w:val="99"/>
    <w:pPr>
      <w:widowControl/>
      <w:spacing w:after="200" w:line="276" w:lineRule="auto"/>
      <w:ind w:left="720"/>
      <w:jc w:val="left"/>
    </w:pPr>
    <w:rPr>
      <w:rFonts w:ascii="Calibri" w:hAnsi="Calibri" w:cs="Calibri"/>
      <w:kern w:val="0"/>
      <w:sz w:val="22"/>
      <w:szCs w:val="22"/>
    </w:rPr>
  </w:style>
  <w:style w:type="paragraph" w:customStyle="1" w:styleId="255">
    <w:name w:val="正文段"/>
    <w:basedOn w:val="1"/>
    <w:qFormat/>
    <w:uiPriority w:val="99"/>
    <w:pPr>
      <w:widowControl/>
      <w:snapToGrid w:val="0"/>
      <w:spacing w:afterLines="50"/>
      <w:ind w:firstLine="200" w:firstLineChars="200"/>
    </w:pPr>
    <w:rPr>
      <w:kern w:val="0"/>
      <w:sz w:val="24"/>
      <w:szCs w:val="24"/>
    </w:rPr>
  </w:style>
  <w:style w:type="paragraph" w:customStyle="1" w:styleId="256">
    <w:name w:val="正文 1.5 倍行距"/>
    <w:basedOn w:val="1"/>
    <w:qFormat/>
    <w:uiPriority w:val="99"/>
    <w:pPr>
      <w:autoSpaceDE w:val="0"/>
      <w:autoSpaceDN w:val="0"/>
      <w:adjustRightInd w:val="0"/>
      <w:spacing w:line="360" w:lineRule="auto"/>
      <w:ind w:firstLine="200" w:firstLineChars="200"/>
      <w:textAlignment w:val="baseline"/>
    </w:pPr>
    <w:rPr>
      <w:kern w:val="0"/>
      <w:sz w:val="28"/>
      <w:szCs w:val="28"/>
    </w:rPr>
  </w:style>
  <w:style w:type="paragraph" w:customStyle="1" w:styleId="257">
    <w:name w:val="Bullet"/>
    <w:basedOn w:val="1"/>
    <w:qFormat/>
    <w:uiPriority w:val="99"/>
    <w:pPr>
      <w:widowControl/>
      <w:tabs>
        <w:tab w:val="left" w:pos="720"/>
        <w:tab w:val="left" w:pos="964"/>
      </w:tabs>
      <w:spacing w:before="120" w:afterLines="50"/>
      <w:ind w:left="720" w:right="360" w:hanging="482"/>
    </w:pPr>
    <w:rPr>
      <w:rFonts w:ascii="宋体" w:cs="宋体"/>
      <w:kern w:val="0"/>
    </w:rPr>
  </w:style>
  <w:style w:type="paragraph" w:customStyle="1" w:styleId="258">
    <w:name w:val="首行缩进"/>
    <w:basedOn w:val="1"/>
    <w:qFormat/>
    <w:uiPriority w:val="99"/>
    <w:pPr>
      <w:widowControl/>
      <w:tabs>
        <w:tab w:val="left" w:pos="822"/>
      </w:tabs>
      <w:snapToGrid w:val="0"/>
      <w:spacing w:before="40" w:after="40" w:line="300" w:lineRule="atLeast"/>
      <w:ind w:left="1701"/>
    </w:pPr>
    <w:rPr>
      <w:rFonts w:ascii="Arial" w:hAnsi="Arial" w:cs="Arial"/>
      <w:kern w:val="0"/>
    </w:rPr>
  </w:style>
  <w:style w:type="paragraph" w:customStyle="1" w:styleId="259">
    <w:name w:val="样式 标题 4Chapter X.X.X. + 段后: 0.5 行1 + 段后: 0.5 行"/>
    <w:basedOn w:val="153"/>
    <w:qFormat/>
    <w:uiPriority w:val="99"/>
  </w:style>
  <w:style w:type="paragraph" w:customStyle="1" w:styleId="260">
    <w:name w:val="P1"/>
    <w:basedOn w:val="1"/>
    <w:qFormat/>
    <w:uiPriority w:val="99"/>
    <w:pPr>
      <w:widowControl/>
      <w:spacing w:before="240" w:line="240" w:lineRule="atLeast"/>
      <w:jc w:val="left"/>
    </w:pPr>
    <w:rPr>
      <w:b/>
      <w:bCs/>
      <w:kern w:val="0"/>
      <w:lang w:val="en-AU" w:eastAsia="en-US"/>
    </w:rPr>
  </w:style>
  <w:style w:type="paragraph" w:customStyle="1" w:styleId="261">
    <w:name w:val="Char Char Char Char Char Char"/>
    <w:basedOn w:val="1"/>
    <w:qFormat/>
    <w:uiPriority w:val="99"/>
    <w:pPr>
      <w:widowControl/>
      <w:spacing w:line="240" w:lineRule="exact"/>
      <w:jc w:val="left"/>
    </w:pPr>
    <w:rPr>
      <w:rFonts w:ascii="Verdana" w:hAnsi="Verdana" w:cs="Verdana"/>
      <w:kern w:val="0"/>
      <w:sz w:val="20"/>
      <w:szCs w:val="20"/>
      <w:lang w:eastAsia="en-US"/>
    </w:rPr>
  </w:style>
  <w:style w:type="paragraph" w:customStyle="1" w:styleId="262">
    <w:name w:val="Char3 Char Char Char1"/>
    <w:basedOn w:val="1"/>
    <w:qFormat/>
    <w:uiPriority w:val="99"/>
    <w:pPr>
      <w:widowControl/>
      <w:spacing w:line="240" w:lineRule="exact"/>
      <w:jc w:val="left"/>
    </w:pPr>
  </w:style>
  <w:style w:type="paragraph" w:customStyle="1" w:styleId="263">
    <w:name w:val="默认段落字体 Para Char Char Char Char Char Char Char Char Char1 Char Char Char Char"/>
    <w:basedOn w:val="1"/>
    <w:qFormat/>
    <w:uiPriority w:val="99"/>
    <w:rPr>
      <w:rFonts w:ascii="Tahoma" w:hAnsi="Tahoma" w:cs="Tahoma"/>
      <w:sz w:val="24"/>
      <w:szCs w:val="24"/>
    </w:rPr>
  </w:style>
  <w:style w:type="paragraph" w:customStyle="1" w:styleId="264">
    <w:name w:val="样式 宋体 黑色 行距: 1.5 倍行距"/>
    <w:basedOn w:val="1"/>
    <w:qFormat/>
    <w:uiPriority w:val="99"/>
    <w:pPr>
      <w:spacing w:line="360" w:lineRule="auto"/>
    </w:pPr>
    <w:rPr>
      <w:rFonts w:ascii="宋体" w:hAnsi="宋体" w:cs="宋体"/>
      <w:color w:val="000000"/>
      <w:sz w:val="24"/>
      <w:szCs w:val="24"/>
    </w:rPr>
  </w:style>
  <w:style w:type="character" w:customStyle="1" w:styleId="265">
    <w:name w:val="纯文本 Char1"/>
    <w:qFormat/>
    <w:uiPriority w:val="99"/>
    <w:rPr>
      <w:rFonts w:ascii="宋体" w:hAnsi="Courier New" w:eastAsia="宋体" w:cs="宋体"/>
      <w:kern w:val="2"/>
      <w:sz w:val="21"/>
      <w:szCs w:val="21"/>
      <w:lang w:val="en-US" w:eastAsia="zh-CN"/>
    </w:rPr>
  </w:style>
  <w:style w:type="paragraph" w:customStyle="1" w:styleId="266">
    <w:name w:val="Table Paragraph"/>
    <w:basedOn w:val="1"/>
    <w:qFormat/>
    <w:uiPriority w:val="99"/>
    <w:rPr>
      <w:rFonts w:ascii="宋体" w:hAnsi="宋体" w:cs="宋体"/>
      <w:lang w:val="zh-CN"/>
    </w:rPr>
  </w:style>
  <w:style w:type="paragraph" w:customStyle="1" w:styleId="267">
    <w:name w:val="招标-标题1"/>
    <w:basedOn w:val="1"/>
    <w:qFormat/>
    <w:uiPriority w:val="99"/>
    <w:pPr>
      <w:spacing w:line="300" w:lineRule="auto"/>
      <w:ind w:left="560"/>
    </w:pPr>
    <w:rPr>
      <w:rFonts w:ascii="宋体" w:hAnsi="Calibri" w:cs="宋体"/>
      <w:b/>
      <w:bCs/>
    </w:rPr>
  </w:style>
  <w:style w:type="paragraph" w:customStyle="1" w:styleId="268">
    <w:name w:val="表格名称"/>
    <w:basedOn w:val="1"/>
    <w:qFormat/>
    <w:uiPriority w:val="99"/>
    <w:pPr>
      <w:jc w:val="center"/>
    </w:pPr>
    <w:rPr>
      <w:b/>
      <w:bCs/>
      <w:sz w:val="28"/>
      <w:szCs w:val="28"/>
    </w:rPr>
  </w:style>
  <w:style w:type="paragraph" w:customStyle="1" w:styleId="269">
    <w:name w:val="表格文本"/>
    <w:basedOn w:val="1"/>
    <w:next w:val="1"/>
    <w:qFormat/>
    <w:uiPriority w:val="99"/>
    <w:pPr>
      <w:adjustRightInd w:val="0"/>
      <w:snapToGrid w:val="0"/>
      <w:jc w:val="center"/>
    </w:pPr>
    <w:rPr>
      <w:color w:val="000000"/>
      <w:sz w:val="24"/>
      <w:szCs w:val="24"/>
    </w:rPr>
  </w:style>
  <w:style w:type="character" w:customStyle="1" w:styleId="270">
    <w:name w:val="Body text|1_"/>
    <w:link w:val="271"/>
    <w:qFormat/>
    <w:locked/>
    <w:uiPriority w:val="99"/>
    <w:rPr>
      <w:rFonts w:ascii="MingLiU" w:hAnsi="MingLiU" w:eastAsia="MingLiU" w:cs="MingLiU"/>
      <w:lang w:val="zh-TW" w:eastAsia="zh-TW"/>
    </w:rPr>
  </w:style>
  <w:style w:type="paragraph" w:customStyle="1" w:styleId="271">
    <w:name w:val="Body text|1"/>
    <w:basedOn w:val="1"/>
    <w:link w:val="270"/>
    <w:qFormat/>
    <w:uiPriority w:val="99"/>
    <w:pPr>
      <w:spacing w:line="439" w:lineRule="auto"/>
      <w:ind w:firstLine="400"/>
      <w:jc w:val="left"/>
    </w:pPr>
    <w:rPr>
      <w:rFonts w:ascii="MingLiU" w:hAnsi="MingLiU" w:eastAsia="MingLiU" w:cs="MingLiU"/>
      <w:kern w:val="0"/>
      <w:sz w:val="20"/>
      <w:szCs w:val="20"/>
      <w:lang w:val="zh-TW" w:eastAsia="zh-TW"/>
    </w:rPr>
  </w:style>
  <w:style w:type="paragraph" w:customStyle="1" w:styleId="272">
    <w:name w:val="标题 5（有编号）（绿盟科技）"/>
    <w:basedOn w:val="1"/>
    <w:next w:val="273"/>
    <w:qFormat/>
    <w:uiPriority w:val="99"/>
    <w:pPr>
      <w:keepNext/>
      <w:keepLines/>
      <w:numPr>
        <w:ilvl w:val="4"/>
        <w:numId w:val="1"/>
      </w:numPr>
      <w:spacing w:before="280" w:after="156" w:line="377" w:lineRule="auto"/>
      <w:outlineLvl w:val="4"/>
    </w:pPr>
    <w:rPr>
      <w:rFonts w:ascii="Arial" w:hAnsi="Arial" w:eastAsia="黑体" w:cs="Arial"/>
      <w:b/>
      <w:bCs/>
      <w:sz w:val="24"/>
      <w:szCs w:val="24"/>
    </w:rPr>
  </w:style>
  <w:style w:type="paragraph" w:customStyle="1" w:styleId="273">
    <w:name w:val="正文（绿盟科技）"/>
    <w:qFormat/>
    <w:uiPriority w:val="99"/>
    <w:pPr>
      <w:spacing w:after="160" w:line="300" w:lineRule="auto"/>
    </w:pPr>
    <w:rPr>
      <w:rFonts w:ascii="Arial" w:hAnsi="Arial" w:eastAsia="宋体" w:cs="Arial"/>
      <w:sz w:val="21"/>
      <w:szCs w:val="21"/>
      <w:lang w:val="en-US" w:eastAsia="zh-CN" w:bidi="ar-SA"/>
    </w:rPr>
  </w:style>
  <w:style w:type="paragraph" w:customStyle="1" w:styleId="274">
    <w:name w:val="表格用"/>
    <w:basedOn w:val="1"/>
    <w:qFormat/>
    <w:uiPriority w:val="0"/>
    <w:rPr>
      <w:rFonts w:ascii="宋体" w:hAnsi="宋体"/>
      <w:kern w:val="0"/>
    </w:rPr>
  </w:style>
  <w:style w:type="character" w:customStyle="1" w:styleId="275">
    <w:name w:val="标题 2 Char1"/>
    <w:qFormat/>
    <w:uiPriority w:val="0"/>
    <w:rPr>
      <w:rFonts w:ascii="Arial" w:hAnsi="Arial" w:eastAsia="宋体"/>
      <w:b/>
      <w:bCs/>
      <w:kern w:val="2"/>
      <w:sz w:val="28"/>
      <w:szCs w:val="32"/>
      <w:lang w:val="en-US" w:eastAsia="zh-CN" w:bidi="ar-SA"/>
    </w:rPr>
  </w:style>
  <w:style w:type="character" w:customStyle="1" w:styleId="276">
    <w:name w:val="NormalCharacter"/>
    <w:semiHidden/>
    <w:qFormat/>
    <w:uiPriority w:val="0"/>
    <w:rPr>
      <w:kern w:val="2"/>
      <w:sz w:val="21"/>
      <w:szCs w:val="24"/>
      <w:lang w:val="en-US" w:eastAsia="zh-CN" w:bidi="ar-SA"/>
    </w:rPr>
  </w:style>
  <w:style w:type="paragraph" w:customStyle="1" w:styleId="277">
    <w:name w:val="修订1"/>
    <w:hidden/>
    <w:semiHidden/>
    <w:qFormat/>
    <w:uiPriority w:val="99"/>
    <w:pPr>
      <w:spacing w:after="160" w:line="278" w:lineRule="auto"/>
    </w:pPr>
    <w:rPr>
      <w:rFonts w:ascii="Times New Roman" w:hAnsi="Times New Roman" w:eastAsia="宋体" w:cs="Times New Roman"/>
      <w:kern w:val="2"/>
      <w:sz w:val="21"/>
      <w:szCs w:val="21"/>
      <w:lang w:val="en-US" w:eastAsia="zh-CN" w:bidi="ar-SA"/>
    </w:rPr>
  </w:style>
  <w:style w:type="character" w:customStyle="1" w:styleId="278">
    <w:name w:val="font31"/>
    <w:basedOn w:val="51"/>
    <w:qFormat/>
    <w:uiPriority w:val="0"/>
    <w:rPr>
      <w:rFonts w:hint="eastAsia" w:ascii="宋体" w:hAnsi="宋体" w:eastAsia="宋体" w:cs="宋体"/>
      <w:b/>
      <w:bCs/>
      <w:color w:val="000000"/>
      <w:sz w:val="24"/>
      <w:szCs w:val="24"/>
      <w:u w:val="none"/>
    </w:rPr>
  </w:style>
  <w:style w:type="character" w:customStyle="1" w:styleId="279">
    <w:name w:val="font21"/>
    <w:basedOn w:val="51"/>
    <w:qFormat/>
    <w:uiPriority w:val="0"/>
    <w:rPr>
      <w:rFonts w:hint="eastAsia" w:ascii="宋体" w:hAnsi="宋体" w:eastAsia="宋体" w:cs="宋体"/>
      <w:color w:val="000000"/>
      <w:sz w:val="24"/>
      <w:szCs w:val="24"/>
      <w:u w:val="none"/>
    </w:rPr>
  </w:style>
  <w:style w:type="paragraph" w:customStyle="1" w:styleId="280">
    <w:name w:val="无间隔1"/>
    <w:next w:val="7"/>
    <w:qFormat/>
    <w:uiPriority w:val="0"/>
    <w:pPr>
      <w:widowControl w:val="0"/>
      <w:spacing w:after="160" w:line="278" w:lineRule="auto"/>
    </w:pPr>
    <w:rPr>
      <w:rFonts w:ascii="Arial" w:hAnsi="Arial" w:eastAsia="仿宋_GB2312" w:cs="Arial"/>
      <w:snapToGrid w:val="0"/>
      <w:kern w:val="2"/>
      <w:sz w:val="28"/>
      <w:szCs w:val="24"/>
      <w:lang w:val="en-US" w:eastAsia="zh-CN" w:bidi="ar-SA"/>
    </w:rPr>
  </w:style>
  <w:style w:type="paragraph" w:customStyle="1" w:styleId="281">
    <w:name w:val="其他"/>
    <w:basedOn w:val="1"/>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F8E3CF-55AD-40C1-AE95-DD18E6B7F32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56</Pages>
  <Words>26699</Words>
  <Characters>29418</Characters>
  <Lines>229</Lines>
  <Paragraphs>64</Paragraphs>
  <TotalTime>38</TotalTime>
  <ScaleCrop>false</ScaleCrop>
  <LinksUpToDate>false</LinksUpToDate>
  <CharactersWithSpaces>30327</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2024-09-12T10:33:00Z</dcterms:created>
  <dc:creator>Administrator</dc:creator>
  <cp:lastModifiedBy>Administrator</cp:lastModifiedBy>
  <cp:lastPrinted>2023-07-20T10:19:00Z</cp:lastPrinted>
  <dcterms:modified xsi:type="dcterms:W3CDTF">2024-09-14T06:31:58Z</dcterms:modified>
  <dc:title>浙江省政府采购招标文件范本（试行）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6A468E966958432492A312F78A41F923_13</vt:lpwstr>
  </property>
</Properties>
</file>